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40" w:lineRule="exact"/>
        <w:ind w:left="0" w:leftChars="0" w:right="0" w:rightChars="0"/>
        <w:textAlignment w:val="auto"/>
        <w:rPr>
          <w:rFonts w:hint="default" w:ascii="Times New Roman" w:hAnsi="Times New Roman" w:eastAsia="方正小标宋_GBK" w:cs="Times New Roman"/>
          <w:color w:val="auto"/>
          <w:w w:val="96"/>
          <w:sz w:val="44"/>
          <w:szCs w:val="44"/>
        </w:rPr>
      </w:pPr>
    </w:p>
    <w:p>
      <w:pPr>
        <w:keepNext w:val="0"/>
        <w:keepLines w:val="0"/>
        <w:pageBreakBefore w:val="0"/>
        <w:widowControl w:val="0"/>
        <w:kinsoku/>
        <w:wordWrap/>
        <w:overflowPunct/>
        <w:topLinePunct w:val="0"/>
        <w:autoSpaceDE/>
        <w:autoSpaceDN/>
        <w:bidi w:val="0"/>
        <w:adjustRightInd/>
        <w:snapToGrid/>
        <w:spacing w:line="540" w:lineRule="exact"/>
        <w:ind w:right="0" w:rightChars="0"/>
        <w:jc w:val="center"/>
        <w:textAlignment w:val="auto"/>
        <w:outlineLvl w:val="0"/>
        <w:rPr>
          <w:rFonts w:hint="default" w:ascii="Times New Roman" w:hAnsi="Times New Roman" w:eastAsia="方正小标宋_GBK" w:cs="Times New Roman"/>
          <w:color w:val="auto"/>
          <w:sz w:val="44"/>
          <w:szCs w:val="44"/>
        </w:rPr>
      </w:pPr>
      <w:r>
        <w:rPr>
          <w:rFonts w:hint="default" w:ascii="Times New Roman" w:hAnsi="Times New Roman" w:eastAsia="方正小标宋_GBK" w:cs="Times New Roman"/>
          <w:color w:val="auto"/>
          <w:sz w:val="44"/>
          <w:szCs w:val="44"/>
          <w:lang w:val="en-US" w:eastAsia="zh-CN"/>
        </w:rPr>
        <w:t>重庆市大足区科学技术</w:t>
      </w:r>
      <w:r>
        <w:rPr>
          <w:rFonts w:hint="default" w:ascii="Times New Roman" w:hAnsi="Times New Roman" w:eastAsia="方正小标宋_GBK" w:cs="Times New Roman"/>
          <w:color w:val="auto"/>
          <w:sz w:val="44"/>
          <w:szCs w:val="44"/>
          <w:lang w:val="en-US"/>
        </w:rPr>
        <w:t>局</w:t>
      </w:r>
    </w:p>
    <w:p>
      <w:pPr>
        <w:spacing w:line="596" w:lineRule="exact"/>
        <w:jc w:val="center"/>
        <w:outlineLvl w:val="0"/>
        <w:rPr>
          <w:rFonts w:eastAsia="方正小标宋_GBK"/>
          <w:sz w:val="44"/>
          <w:szCs w:val="44"/>
        </w:rPr>
      </w:pPr>
      <w:bookmarkStart w:id="0" w:name="_Toc27289"/>
      <w:r>
        <w:rPr>
          <w:rFonts w:hint="default" w:ascii="Times New Roman" w:hAnsi="Times New Roman" w:eastAsia="方正小标宋_GBK" w:cs="Times New Roman"/>
          <w:color w:val="auto"/>
          <w:sz w:val="44"/>
          <w:szCs w:val="44"/>
        </w:rPr>
        <w:t>关于印发</w:t>
      </w:r>
      <w:bookmarkEnd w:id="0"/>
      <w:bookmarkStart w:id="1" w:name="_Toc32568"/>
      <w:bookmarkStart w:id="2" w:name="_Toc24082"/>
      <w:r>
        <w:rPr>
          <w:rFonts w:eastAsia="方正小标宋_GBK"/>
          <w:sz w:val="44"/>
          <w:szCs w:val="44"/>
        </w:rPr>
        <w:t>《重庆市大足区科技发展项目</w:t>
      </w:r>
    </w:p>
    <w:p>
      <w:pPr>
        <w:keepNext w:val="0"/>
        <w:keepLines w:val="0"/>
        <w:pageBreakBefore w:val="0"/>
        <w:widowControl w:val="0"/>
        <w:kinsoku/>
        <w:wordWrap/>
        <w:overflowPunct/>
        <w:topLinePunct w:val="0"/>
        <w:autoSpaceDE/>
        <w:autoSpaceDN/>
        <w:bidi w:val="0"/>
        <w:adjustRightInd/>
        <w:snapToGrid/>
        <w:spacing w:line="540" w:lineRule="exact"/>
        <w:ind w:right="0" w:rightChars="0"/>
        <w:jc w:val="center"/>
        <w:textAlignment w:val="auto"/>
        <w:outlineLvl w:val="0"/>
        <w:rPr>
          <w:rFonts w:hint="default" w:ascii="Times New Roman" w:hAnsi="Times New Roman" w:eastAsia="方正仿宋_GBK" w:cs="Times New Roman"/>
          <w:color w:val="auto"/>
          <w:sz w:val="32"/>
          <w:szCs w:val="32"/>
          <w:lang w:val="en-US" w:eastAsia="zh-CN"/>
        </w:rPr>
      </w:pPr>
      <w:r>
        <w:rPr>
          <w:rFonts w:eastAsia="方正小标宋_GBK"/>
          <w:sz w:val="44"/>
          <w:szCs w:val="44"/>
        </w:rPr>
        <w:t>实施细则》</w:t>
      </w:r>
      <w:r>
        <w:rPr>
          <w:rFonts w:hint="default" w:ascii="Times New Roman" w:hAnsi="Times New Roman" w:eastAsia="方正小标宋_GBK" w:cs="Times New Roman"/>
          <w:color w:val="auto"/>
          <w:sz w:val="44"/>
          <w:szCs w:val="44"/>
        </w:rPr>
        <w:t>的通知</w:t>
      </w:r>
      <w:bookmarkEnd w:id="1"/>
      <w:bookmarkEnd w:id="2"/>
    </w:p>
    <w:p>
      <w:pPr>
        <w:keepNext w:val="0"/>
        <w:keepLines w:val="0"/>
        <w:pageBreakBefore w:val="0"/>
        <w:widowControl w:val="0"/>
        <w:kinsoku/>
        <w:wordWrap/>
        <w:overflowPunct/>
        <w:topLinePunct w:val="0"/>
        <w:autoSpaceDE/>
        <w:autoSpaceDN/>
        <w:bidi w:val="0"/>
        <w:adjustRightInd/>
        <w:snapToGrid/>
        <w:spacing w:line="540" w:lineRule="exact"/>
        <w:ind w:left="0" w:leftChars="0" w:firstLine="0" w:firstLineChars="0"/>
        <w:jc w:val="center"/>
        <w:textAlignment w:val="auto"/>
        <w:rPr>
          <w:rFonts w:hint="default" w:ascii="Times New Roman" w:hAnsi="Times New Roman" w:eastAsia="方正仿宋_GBK" w:cs="Times New Roman"/>
          <w:b w:val="0"/>
          <w:color w:val="auto"/>
          <w:kern w:val="2"/>
          <w:sz w:val="32"/>
          <w:szCs w:val="32"/>
          <w:lang w:val="en-US" w:eastAsia="zh-CN"/>
        </w:rPr>
      </w:pPr>
      <w:r>
        <w:rPr>
          <w:rFonts w:hint="default" w:ascii="Times New Roman" w:hAnsi="Times New Roman" w:eastAsia="方正仿宋_GBK" w:cs="Times New Roman"/>
          <w:b w:val="0"/>
          <w:color w:val="auto"/>
          <w:kern w:val="2"/>
          <w:sz w:val="32"/>
          <w:szCs w:val="32"/>
          <w:lang w:val="en-US" w:eastAsia="zh-CN"/>
        </w:rPr>
        <w:t>大足科发〔202</w:t>
      </w:r>
      <w:r>
        <w:rPr>
          <w:rFonts w:hint="eastAsia" w:cs="Times New Roman"/>
          <w:b w:val="0"/>
          <w:color w:val="auto"/>
          <w:kern w:val="2"/>
          <w:sz w:val="32"/>
          <w:szCs w:val="32"/>
          <w:lang w:val="en-US" w:eastAsia="zh-CN"/>
        </w:rPr>
        <w:t>3</w:t>
      </w:r>
      <w:r>
        <w:rPr>
          <w:rFonts w:hint="default" w:ascii="Times New Roman" w:hAnsi="Times New Roman" w:eastAsia="方正仿宋_GBK" w:cs="Times New Roman"/>
          <w:b w:val="0"/>
          <w:color w:val="auto"/>
          <w:kern w:val="2"/>
          <w:sz w:val="32"/>
          <w:szCs w:val="32"/>
          <w:lang w:val="en-US" w:eastAsia="zh-CN"/>
        </w:rPr>
        <w:t>〕</w:t>
      </w:r>
      <w:r>
        <w:rPr>
          <w:rFonts w:hint="eastAsia" w:cs="Times New Roman"/>
          <w:b w:val="0"/>
          <w:color w:val="auto"/>
          <w:kern w:val="2"/>
          <w:sz w:val="32"/>
          <w:szCs w:val="32"/>
          <w:lang w:val="en-US" w:eastAsia="zh-CN"/>
        </w:rPr>
        <w:t>23</w:t>
      </w:r>
      <w:r>
        <w:rPr>
          <w:rFonts w:hint="default" w:ascii="Times New Roman" w:hAnsi="Times New Roman" w:eastAsia="方正仿宋_GBK" w:cs="Times New Roman"/>
          <w:b w:val="0"/>
          <w:color w:val="auto"/>
          <w:kern w:val="2"/>
          <w:sz w:val="32"/>
          <w:szCs w:val="32"/>
          <w:lang w:val="en-US" w:eastAsia="zh-CN"/>
        </w:rPr>
        <w:t>号</w:t>
      </w:r>
    </w:p>
    <w:p>
      <w:pPr>
        <w:pStyle w:val="3"/>
        <w:keepNext w:val="0"/>
        <w:keepLines w:val="0"/>
        <w:pageBreakBefore w:val="0"/>
        <w:widowControl w:val="0"/>
        <w:kinsoku/>
        <w:wordWrap/>
        <w:overflowPunct/>
        <w:topLinePunct w:val="0"/>
        <w:autoSpaceDE/>
        <w:autoSpaceDN/>
        <w:bidi w:val="0"/>
        <w:adjustRightInd/>
        <w:snapToGrid/>
        <w:spacing w:line="600" w:lineRule="exact"/>
        <w:ind w:right="0" w:rightChars="0"/>
        <w:textAlignment w:val="auto"/>
        <w:rPr>
          <w:rFonts w:hint="default" w:ascii="Times New Roman" w:hAnsi="Times New Roman" w:cs="Times New Roman"/>
          <w:color w:val="auto"/>
        </w:rPr>
      </w:pPr>
    </w:p>
    <w:p>
      <w:pPr>
        <w:spacing w:line="596" w:lineRule="exact"/>
        <w:rPr>
          <w:rFonts w:eastAsia="方正仿宋_GBK"/>
          <w:sz w:val="32"/>
          <w:szCs w:val="22"/>
        </w:rPr>
      </w:pPr>
      <w:r>
        <w:rPr>
          <w:rFonts w:eastAsia="方正仿宋_GBK"/>
          <w:sz w:val="32"/>
          <w:szCs w:val="22"/>
        </w:rPr>
        <w:t>各镇街人民政府（办事处），区级各部门，企事业单位：</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r>
        <w:rPr>
          <w:rFonts w:eastAsia="方正仿宋_GBK"/>
          <w:sz w:val="32"/>
          <w:szCs w:val="22"/>
        </w:rPr>
        <w:t>为进一步落实《重庆市大足区科学技术局关于印发&lt;重庆市大足区科技发展项目管理办法&gt;的通知》（大足科发〔2023〕</w:t>
      </w:r>
      <w:r>
        <w:rPr>
          <w:rFonts w:hint="eastAsia" w:eastAsia="方正仿宋_GBK"/>
          <w:sz w:val="32"/>
          <w:szCs w:val="22"/>
        </w:rPr>
        <w:t>22</w:t>
      </w:r>
      <w:r>
        <w:rPr>
          <w:rFonts w:eastAsia="方正仿宋_GBK"/>
          <w:sz w:val="32"/>
          <w:szCs w:val="22"/>
        </w:rPr>
        <w:t>号）文件精神，规范科技发展项目管理程序，提高科技发展项目管理水平和效率，特制定了《重庆市大足区科技发展项目实施细则》。现予印发。</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cs="Times New Roman"/>
          <w:color w:val="auto"/>
        </w:rPr>
      </w:pPr>
    </w:p>
    <w:p>
      <w:pPr>
        <w:pStyle w:val="3"/>
        <w:keepNext w:val="0"/>
        <w:keepLines w:val="0"/>
        <w:pageBreakBefore w:val="0"/>
        <w:widowControl w:val="0"/>
        <w:kinsoku/>
        <w:wordWrap/>
        <w:overflowPunct/>
        <w:topLinePunct w:val="0"/>
        <w:autoSpaceDE/>
        <w:autoSpaceDN/>
        <w:bidi w:val="0"/>
        <w:adjustRightInd/>
        <w:snapToGrid/>
        <w:spacing w:line="600" w:lineRule="exact"/>
        <w:textAlignment w:val="auto"/>
        <w:rPr>
          <w:rFonts w:hint="default" w:ascii="Times New Roman" w:hAnsi="Times New Roman" w:cs="Times New Roman"/>
          <w:color w:val="auto"/>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color w:val="auto"/>
          <w:lang w:val="en-US" w:eastAsia="zh-CN"/>
        </w:rPr>
      </w:pP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重庆市大足区科学技术</w:t>
      </w:r>
      <w:r>
        <w:rPr>
          <w:rFonts w:hint="default" w:ascii="Times New Roman" w:hAnsi="Times New Roman" w:cs="Times New Roman"/>
          <w:color w:val="auto"/>
          <w:lang w:val="en-US" w:eastAsia="zh-CN"/>
        </w:rPr>
        <w:t>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left"/>
        <w:textAlignment w:val="auto"/>
        <w:outlineLvl w:val="9"/>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 xml:space="preserve">                            </w:t>
      </w:r>
      <w:r>
        <w:rPr>
          <w:rFonts w:hint="eastAsia" w:cs="Times New Roman"/>
          <w:color w:val="auto"/>
          <w:lang w:val="en-US" w:eastAsia="zh-CN"/>
        </w:rPr>
        <w:t xml:space="preserve"> </w:t>
      </w:r>
      <w:r>
        <w:rPr>
          <w:rFonts w:hint="default" w:ascii="Times New Roman" w:hAnsi="Times New Roman" w:cs="Times New Roman"/>
          <w:color w:val="auto"/>
          <w:lang w:val="en-US" w:eastAsia="zh-CN"/>
        </w:rPr>
        <w:t xml:space="preserve">  </w:t>
      </w:r>
      <w:r>
        <w:rPr>
          <w:rFonts w:hint="default" w:ascii="Times New Roman" w:hAnsi="Times New Roman" w:cs="Times New Roman"/>
          <w:color w:val="auto"/>
        </w:rPr>
        <w:t>20</w:t>
      </w:r>
      <w:r>
        <w:rPr>
          <w:rFonts w:hint="default" w:ascii="Times New Roman" w:hAnsi="Times New Roman" w:cs="Times New Roman"/>
          <w:color w:val="auto"/>
          <w:lang w:val="en-US" w:eastAsia="zh-CN"/>
        </w:rPr>
        <w:t>2</w:t>
      </w:r>
      <w:r>
        <w:rPr>
          <w:rFonts w:hint="eastAsia" w:cs="Times New Roman"/>
          <w:color w:val="auto"/>
          <w:lang w:val="en-US" w:eastAsia="zh-CN"/>
        </w:rPr>
        <w:t>3</w:t>
      </w:r>
      <w:r>
        <w:rPr>
          <w:rFonts w:hint="default" w:ascii="Times New Roman" w:hAnsi="Times New Roman" w:cs="Times New Roman"/>
          <w:color w:val="auto"/>
        </w:rPr>
        <w:t>年</w:t>
      </w:r>
      <w:r>
        <w:rPr>
          <w:rFonts w:hint="eastAsia" w:cs="Times New Roman"/>
          <w:color w:val="auto"/>
          <w:lang w:val="en-US" w:eastAsia="zh-CN"/>
        </w:rPr>
        <w:t>8</w:t>
      </w:r>
      <w:r>
        <w:rPr>
          <w:rFonts w:hint="default" w:ascii="Times New Roman" w:hAnsi="Times New Roman" w:cs="Times New Roman"/>
          <w:color w:val="auto"/>
        </w:rPr>
        <w:t>月</w:t>
      </w:r>
      <w:r>
        <w:rPr>
          <w:rFonts w:hint="eastAsia" w:cs="Times New Roman"/>
          <w:color w:val="auto"/>
          <w:lang w:val="en-US" w:eastAsia="zh-CN"/>
        </w:rPr>
        <w:t>28</w:t>
      </w:r>
      <w:r>
        <w:rPr>
          <w:rFonts w:hint="default" w:ascii="Times New Roman" w:hAnsi="Times New Roman" w:cs="Times New Roman"/>
          <w:color w:val="auto"/>
        </w:rPr>
        <w:t>日</w:t>
      </w:r>
      <w:r>
        <w:rPr>
          <w:rFonts w:hint="default" w:ascii="Times New Roman" w:hAnsi="Times New Roman" w:cs="Times New Roman"/>
          <w:color w:val="auto"/>
          <w:lang w:val="en-US" w:eastAsia="zh-CN"/>
        </w:rPr>
        <w:t xml:space="preserve"> </w:t>
      </w:r>
    </w:p>
    <w:p>
      <w:pPr>
        <w:pStyle w:val="3"/>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default"/>
        </w:rPr>
        <w:sectPr>
          <w:headerReference r:id="rId3" w:type="default"/>
          <w:footerReference r:id="rId5" w:type="default"/>
          <w:headerReference r:id="rId4" w:type="even"/>
          <w:footerReference r:id="rId6" w:type="even"/>
          <w:pgSz w:w="11906" w:h="16838"/>
          <w:pgMar w:top="1984" w:right="1446" w:bottom="1644" w:left="1446" w:header="851" w:footer="1474" w:gutter="0"/>
          <w:pgNumType w:fmt="decimal"/>
          <w:cols w:space="425" w:num="1"/>
          <w:docGrid w:type="lines" w:linePitch="312" w:charSpace="0"/>
        </w:sectPr>
      </w:pPr>
      <w:r>
        <w:rPr>
          <w:rFonts w:hint="default" w:ascii="Times New Roman" w:hAnsi="Times New Roman" w:eastAsia="方正仿宋_GBK" w:cs="Times New Roman"/>
          <w:color w:val="auto"/>
          <w:sz w:val="32"/>
          <w:szCs w:val="32"/>
          <w:lang w:val="en-US" w:eastAsia="zh-CN"/>
        </w:rPr>
        <w:t>（此件公开发布）</w:t>
      </w:r>
    </w:p>
    <w:p>
      <w:pPr>
        <w:spacing w:line="596" w:lineRule="exact"/>
        <w:jc w:val="center"/>
        <w:outlineLvl w:val="0"/>
        <w:rPr>
          <w:rFonts w:eastAsia="方正小标宋_GBK"/>
          <w:sz w:val="44"/>
          <w:szCs w:val="44"/>
        </w:rPr>
      </w:pPr>
      <w:bookmarkStart w:id="3" w:name="_Toc4816"/>
    </w:p>
    <w:p>
      <w:pPr>
        <w:spacing w:line="596" w:lineRule="exact"/>
        <w:jc w:val="center"/>
        <w:outlineLvl w:val="0"/>
        <w:rPr>
          <w:rFonts w:eastAsia="方正小标宋_GBK"/>
          <w:sz w:val="44"/>
          <w:szCs w:val="44"/>
        </w:rPr>
      </w:pPr>
      <w:r>
        <w:rPr>
          <w:rFonts w:eastAsia="方正小标宋_GBK"/>
          <w:sz w:val="44"/>
          <w:szCs w:val="44"/>
        </w:rPr>
        <w:t>重庆市大足区科技发展项目实施细则</w:t>
      </w:r>
      <w:bookmarkEnd w:id="3"/>
    </w:p>
    <w:p>
      <w:pPr>
        <w:spacing w:line="596" w:lineRule="exact"/>
        <w:ind w:firstLine="640" w:firstLineChars="200"/>
      </w:pPr>
    </w:p>
    <w:p>
      <w:pPr>
        <w:spacing w:line="596" w:lineRule="exact"/>
        <w:ind w:firstLine="640" w:firstLineChars="200"/>
        <w:rPr>
          <w:rFonts w:eastAsia="方正仿宋_GBK"/>
          <w:color w:val="auto"/>
          <w:sz w:val="32"/>
          <w:szCs w:val="22"/>
        </w:rPr>
      </w:pPr>
      <w:r>
        <w:rPr>
          <w:rFonts w:eastAsia="方正仿宋_GBK"/>
          <w:color w:val="auto"/>
          <w:sz w:val="32"/>
          <w:szCs w:val="22"/>
        </w:rPr>
        <w:t>为规范大足区科技发展项目管理过程，细化《重庆市大足区科学技术局关于印发&lt;重庆市大足区科技发展项目管理办法&gt;的通知》（大足科发〔2023〕</w:t>
      </w:r>
      <w:r>
        <w:rPr>
          <w:rFonts w:hint="eastAsia" w:eastAsia="方正仿宋_GBK"/>
          <w:color w:val="auto"/>
          <w:sz w:val="32"/>
          <w:szCs w:val="22"/>
        </w:rPr>
        <w:t>22</w:t>
      </w:r>
      <w:r>
        <w:rPr>
          <w:rFonts w:eastAsia="方正仿宋_GBK"/>
          <w:color w:val="auto"/>
          <w:sz w:val="32"/>
          <w:szCs w:val="22"/>
        </w:rPr>
        <w:t>号）文件规定，大足区科技发展项目管理过程包含发布指南、申请受理、项目评审与立项、项目下达、项目管理、项目验收等程序，结合实际，制定本实施细则。</w:t>
      </w:r>
    </w:p>
    <w:p>
      <w:pPr>
        <w:spacing w:line="596" w:lineRule="exact"/>
        <w:ind w:firstLine="640" w:firstLineChars="200"/>
        <w:outlineLvl w:val="0"/>
        <w:rPr>
          <w:rFonts w:eastAsia="方正黑体_GBK"/>
          <w:color w:val="auto"/>
          <w:sz w:val="32"/>
          <w:szCs w:val="22"/>
        </w:rPr>
      </w:pPr>
      <w:bookmarkStart w:id="4" w:name="_Toc16640"/>
      <w:bookmarkStart w:id="5" w:name="_Toc23434"/>
      <w:bookmarkStart w:id="6" w:name="_Toc10149"/>
      <w:r>
        <w:rPr>
          <w:rFonts w:eastAsia="方正黑体_GBK"/>
          <w:color w:val="auto"/>
          <w:sz w:val="32"/>
          <w:szCs w:val="22"/>
        </w:rPr>
        <w:t>一、发布指南</w:t>
      </w:r>
      <w:bookmarkEnd w:id="4"/>
      <w:bookmarkEnd w:id="5"/>
      <w:bookmarkEnd w:id="6"/>
    </w:p>
    <w:p>
      <w:pPr>
        <w:spacing w:line="596" w:lineRule="exact"/>
        <w:ind w:firstLine="640" w:firstLineChars="200"/>
        <w:rPr>
          <w:color w:val="auto"/>
        </w:rPr>
      </w:pPr>
      <w:r>
        <w:rPr>
          <w:rFonts w:eastAsia="方正仿宋_GBK"/>
          <w:color w:val="auto"/>
          <w:sz w:val="32"/>
          <w:szCs w:val="22"/>
        </w:rPr>
        <w:t xml:space="preserve">1．紧密围绕区委、区政府的工作要求和总体部署，根据全区科技、经济和社会发展实际，拟定“大足区科技发展项目申报指南暨项目申报通知”，明确支持方向、支持领域、申报条件和要求等，项目集中申报时间一般不少于一个月。 </w:t>
      </w:r>
    </w:p>
    <w:p>
      <w:pPr>
        <w:spacing w:line="596" w:lineRule="exact"/>
        <w:ind w:firstLine="640" w:firstLineChars="200"/>
        <w:outlineLvl w:val="0"/>
        <w:rPr>
          <w:rFonts w:eastAsia="方正黑体_GBK"/>
          <w:color w:val="auto"/>
          <w:sz w:val="32"/>
          <w:szCs w:val="22"/>
        </w:rPr>
      </w:pPr>
      <w:bookmarkStart w:id="7" w:name="_Toc15510"/>
      <w:bookmarkStart w:id="8" w:name="_Toc28193"/>
      <w:bookmarkStart w:id="9" w:name="_Toc12235"/>
      <w:r>
        <w:rPr>
          <w:rFonts w:eastAsia="方正黑体_GBK"/>
          <w:color w:val="auto"/>
          <w:sz w:val="32"/>
          <w:szCs w:val="22"/>
        </w:rPr>
        <w:t>二、申请受理</w:t>
      </w:r>
      <w:bookmarkEnd w:id="7"/>
      <w:bookmarkEnd w:id="8"/>
      <w:bookmarkEnd w:id="9"/>
    </w:p>
    <w:p>
      <w:pPr>
        <w:spacing w:line="596" w:lineRule="exact"/>
        <w:ind w:firstLine="640" w:firstLineChars="200"/>
        <w:rPr>
          <w:rFonts w:eastAsia="方正仿宋_GBK"/>
          <w:color w:val="auto"/>
          <w:sz w:val="32"/>
          <w:szCs w:val="22"/>
        </w:rPr>
      </w:pPr>
      <w:r>
        <w:rPr>
          <w:rFonts w:eastAsia="方正仿宋_GBK"/>
          <w:color w:val="auto"/>
          <w:sz w:val="32"/>
          <w:szCs w:val="22"/>
        </w:rPr>
        <w:t>2．申报单位按照“大足区科技发展项目申报指南暨项目申报通知”要求，提交相关材料到区科技局。</w:t>
      </w:r>
    </w:p>
    <w:p>
      <w:pPr>
        <w:spacing w:line="596" w:lineRule="exact"/>
        <w:ind w:firstLine="640" w:firstLineChars="200"/>
        <w:rPr>
          <w:rFonts w:eastAsia="方正仿宋_GBK"/>
          <w:color w:val="auto"/>
          <w:sz w:val="32"/>
          <w:szCs w:val="22"/>
        </w:rPr>
      </w:pPr>
      <w:r>
        <w:rPr>
          <w:rFonts w:eastAsia="方正仿宋_GBK"/>
          <w:color w:val="auto"/>
          <w:sz w:val="32"/>
          <w:szCs w:val="22"/>
        </w:rPr>
        <w:t>3．区科技局将收集到的项目分类整理，进行真实性审核。</w:t>
      </w:r>
    </w:p>
    <w:p>
      <w:pPr>
        <w:spacing w:line="596" w:lineRule="exact"/>
        <w:ind w:firstLine="640" w:firstLineChars="200"/>
        <w:rPr>
          <w:rFonts w:eastAsia="方正仿宋_GBK"/>
          <w:color w:val="auto"/>
          <w:sz w:val="32"/>
          <w:szCs w:val="22"/>
        </w:rPr>
      </w:pPr>
      <w:r>
        <w:rPr>
          <w:rFonts w:eastAsia="方正仿宋_GBK"/>
          <w:color w:val="auto"/>
          <w:sz w:val="32"/>
          <w:szCs w:val="22"/>
        </w:rPr>
        <w:t>4．真实性审核通过的项目，进入专家组评审的项目名单。</w:t>
      </w:r>
    </w:p>
    <w:p>
      <w:pPr>
        <w:spacing w:line="596" w:lineRule="exact"/>
        <w:ind w:firstLine="640" w:firstLineChars="200"/>
        <w:outlineLvl w:val="0"/>
        <w:rPr>
          <w:rFonts w:eastAsia="方正黑体_GBK"/>
          <w:color w:val="auto"/>
          <w:sz w:val="32"/>
          <w:szCs w:val="22"/>
        </w:rPr>
      </w:pPr>
      <w:bookmarkStart w:id="10" w:name="_Toc22005"/>
      <w:bookmarkStart w:id="11" w:name="_Toc28699"/>
      <w:bookmarkStart w:id="12" w:name="_Toc6802"/>
      <w:r>
        <w:rPr>
          <w:rFonts w:eastAsia="方正黑体_GBK"/>
          <w:color w:val="auto"/>
          <w:sz w:val="32"/>
          <w:szCs w:val="22"/>
        </w:rPr>
        <w:t>三、项目评审与立项</w:t>
      </w:r>
      <w:bookmarkEnd w:id="10"/>
      <w:bookmarkEnd w:id="11"/>
      <w:bookmarkEnd w:id="12"/>
    </w:p>
    <w:p>
      <w:pPr>
        <w:spacing w:line="596" w:lineRule="exact"/>
        <w:ind w:firstLine="640" w:firstLineChars="200"/>
        <w:rPr>
          <w:rFonts w:eastAsia="方正仿宋_GBK"/>
          <w:color w:val="auto"/>
          <w:sz w:val="32"/>
          <w:szCs w:val="22"/>
        </w:rPr>
      </w:pPr>
      <w:r>
        <w:rPr>
          <w:rFonts w:eastAsia="方正仿宋_GBK"/>
          <w:color w:val="auto"/>
          <w:sz w:val="32"/>
          <w:szCs w:val="22"/>
        </w:rPr>
        <w:t>5．项目评审实行专家评审、行政审定相结合的方式，进入专家评审项目的数量不超过拟支持项目数量的2倍。</w:t>
      </w:r>
    </w:p>
    <w:p>
      <w:pPr>
        <w:spacing w:line="596" w:lineRule="exact"/>
        <w:ind w:firstLine="640" w:firstLineChars="200"/>
        <w:rPr>
          <w:rFonts w:eastAsia="方正仿宋_GBK"/>
          <w:color w:val="auto"/>
          <w:sz w:val="32"/>
          <w:szCs w:val="22"/>
        </w:rPr>
      </w:pPr>
      <w:r>
        <w:rPr>
          <w:rFonts w:eastAsia="方正仿宋_GBK"/>
          <w:color w:val="auto"/>
          <w:sz w:val="32"/>
          <w:szCs w:val="22"/>
        </w:rPr>
        <w:t>6．本着“同行评议”原则，组织行业技术专家对项目进行论证评审，分别成立工业、农业、医疗卫生、人文社会评审专家组，专家组原则上由3—7人组成，专家组成员由区派驻纪检监察组在项目评审专家库中抽选。</w:t>
      </w:r>
    </w:p>
    <w:p>
      <w:pPr>
        <w:spacing w:line="596" w:lineRule="exact"/>
        <w:ind w:firstLine="640" w:firstLineChars="200"/>
        <w:rPr>
          <w:rFonts w:eastAsia="方正仿宋_GBK"/>
          <w:color w:val="auto"/>
          <w:sz w:val="32"/>
          <w:szCs w:val="22"/>
        </w:rPr>
      </w:pPr>
      <w:r>
        <w:rPr>
          <w:rFonts w:eastAsia="方正仿宋_GBK"/>
          <w:color w:val="auto"/>
          <w:sz w:val="32"/>
          <w:szCs w:val="22"/>
        </w:rPr>
        <w:t>专家评审形式采取会议评审、通讯评审和现场考察等形式进行。</w:t>
      </w:r>
    </w:p>
    <w:p>
      <w:pPr>
        <w:spacing w:line="596" w:lineRule="exact"/>
        <w:ind w:firstLine="640" w:firstLineChars="200"/>
        <w:rPr>
          <w:rFonts w:eastAsia="方正仿宋_GBK"/>
          <w:color w:val="auto"/>
          <w:sz w:val="32"/>
          <w:szCs w:val="22"/>
        </w:rPr>
      </w:pPr>
      <w:r>
        <w:rPr>
          <w:rFonts w:eastAsia="方正仿宋_GBK"/>
          <w:color w:val="auto"/>
          <w:sz w:val="32"/>
          <w:szCs w:val="22"/>
        </w:rPr>
        <w:t>7．答辩评审</w:t>
      </w:r>
    </w:p>
    <w:p>
      <w:pPr>
        <w:spacing w:line="596" w:lineRule="exact"/>
        <w:ind w:firstLine="640" w:firstLineChars="200"/>
        <w:rPr>
          <w:rFonts w:eastAsia="方正仿宋_GBK"/>
          <w:color w:val="auto"/>
          <w:sz w:val="32"/>
          <w:szCs w:val="22"/>
        </w:rPr>
      </w:pPr>
      <w:r>
        <w:rPr>
          <w:rFonts w:eastAsia="方正仿宋_GBK"/>
          <w:color w:val="auto"/>
          <w:sz w:val="32"/>
          <w:szCs w:val="22"/>
        </w:rPr>
        <w:t>（1）评审原则</w:t>
      </w:r>
    </w:p>
    <w:p>
      <w:pPr>
        <w:spacing w:line="596" w:lineRule="exact"/>
        <w:ind w:firstLine="640" w:firstLineChars="200"/>
        <w:rPr>
          <w:rFonts w:eastAsia="方正仿宋_GBK"/>
          <w:color w:val="auto"/>
          <w:sz w:val="32"/>
          <w:szCs w:val="22"/>
        </w:rPr>
      </w:pPr>
      <w:r>
        <w:rPr>
          <w:rFonts w:eastAsia="方正仿宋_GBK"/>
          <w:color w:val="auto"/>
          <w:sz w:val="32"/>
          <w:szCs w:val="22"/>
        </w:rPr>
        <w:t>专家评审时采取“打分（定量评价）+投票（定性评价）”的方式对项目进行排序，依据有效项目平均分、专家建议立项得票率两个标准评定。平均分=项目总得分/有效评审意见份数；得票率=建立立项票数/投票专家人数。</w:t>
      </w:r>
    </w:p>
    <w:p>
      <w:pPr>
        <w:spacing w:line="596" w:lineRule="exact"/>
        <w:ind w:firstLine="640" w:firstLineChars="200"/>
        <w:rPr>
          <w:rFonts w:eastAsia="方正仿宋_GBK"/>
          <w:color w:val="auto"/>
          <w:sz w:val="32"/>
          <w:szCs w:val="22"/>
        </w:rPr>
      </w:pPr>
      <w:r>
        <w:rPr>
          <w:rFonts w:eastAsia="方正仿宋_GBK"/>
          <w:color w:val="auto"/>
          <w:sz w:val="32"/>
          <w:szCs w:val="22"/>
        </w:rPr>
        <w:t>（2）排序标准</w:t>
      </w:r>
    </w:p>
    <w:p>
      <w:pPr>
        <w:spacing w:line="596" w:lineRule="exact"/>
        <w:ind w:firstLine="640" w:firstLineChars="200"/>
        <w:rPr>
          <w:rFonts w:eastAsia="方正仿宋_GBK"/>
          <w:color w:val="auto"/>
          <w:sz w:val="32"/>
          <w:szCs w:val="22"/>
        </w:rPr>
      </w:pPr>
      <w:r>
        <w:rPr>
          <w:rFonts w:eastAsia="方正仿宋_GBK"/>
          <w:color w:val="auto"/>
          <w:sz w:val="32"/>
          <w:szCs w:val="22"/>
        </w:rPr>
        <w:t>项目平均分≥75%分，专家支持立项得票率≥50%的项目，</w:t>
      </w:r>
      <w:r>
        <w:rPr>
          <w:rFonts w:hint="eastAsia" w:eastAsia="方正仿宋_GBK"/>
          <w:color w:val="auto"/>
          <w:sz w:val="32"/>
          <w:szCs w:val="22"/>
        </w:rPr>
        <w:t>优先按得票率高低排位，得票率相同的</w:t>
      </w:r>
      <w:r>
        <w:rPr>
          <w:rFonts w:eastAsia="方正仿宋_GBK"/>
          <w:color w:val="auto"/>
          <w:sz w:val="32"/>
          <w:szCs w:val="22"/>
        </w:rPr>
        <w:t>按项目平均得分</w:t>
      </w:r>
      <w:r>
        <w:rPr>
          <w:rFonts w:hint="eastAsia" w:eastAsia="方正仿宋_GBK"/>
          <w:color w:val="auto"/>
          <w:sz w:val="32"/>
          <w:szCs w:val="22"/>
        </w:rPr>
        <w:t>高低</w:t>
      </w:r>
      <w:r>
        <w:rPr>
          <w:rFonts w:eastAsia="方正仿宋_GBK"/>
          <w:color w:val="auto"/>
          <w:sz w:val="32"/>
          <w:szCs w:val="22"/>
        </w:rPr>
        <w:t>排位。</w:t>
      </w:r>
    </w:p>
    <w:p>
      <w:pPr>
        <w:spacing w:line="596" w:lineRule="exact"/>
        <w:ind w:firstLine="640" w:firstLineChars="200"/>
        <w:rPr>
          <w:rFonts w:eastAsia="方正仿宋_GBK"/>
          <w:color w:val="auto"/>
          <w:sz w:val="32"/>
          <w:szCs w:val="22"/>
        </w:rPr>
      </w:pPr>
      <w:r>
        <w:rPr>
          <w:rFonts w:eastAsia="方正仿宋_GBK"/>
          <w:color w:val="auto"/>
          <w:sz w:val="32"/>
          <w:szCs w:val="22"/>
        </w:rPr>
        <w:t>（3）关于2项并行支持</w:t>
      </w:r>
    </w:p>
    <w:p>
      <w:pPr>
        <w:spacing w:line="596" w:lineRule="exact"/>
        <w:ind w:firstLine="640" w:firstLineChars="200"/>
        <w:rPr>
          <w:rFonts w:eastAsia="方正仿宋_GBK"/>
          <w:color w:val="auto"/>
          <w:sz w:val="32"/>
          <w:szCs w:val="22"/>
        </w:rPr>
      </w:pPr>
      <w:r>
        <w:rPr>
          <w:rFonts w:eastAsia="方正仿宋_GBK"/>
          <w:color w:val="auto"/>
          <w:sz w:val="32"/>
          <w:szCs w:val="22"/>
        </w:rPr>
        <w:t>对于拟支持1-2项的指南方向，在同时满足以下条件时，可以择优同时支持两项：</w:t>
      </w:r>
    </w:p>
    <w:p>
      <w:pPr>
        <w:spacing w:line="596" w:lineRule="exact"/>
        <w:ind w:firstLine="640" w:firstLineChars="200"/>
        <w:rPr>
          <w:rFonts w:eastAsia="方正仿宋_GBK"/>
          <w:color w:val="auto"/>
          <w:sz w:val="32"/>
          <w:szCs w:val="22"/>
        </w:rPr>
      </w:pPr>
      <w:r>
        <w:rPr>
          <w:rFonts w:eastAsia="方正仿宋_GBK"/>
          <w:color w:val="auto"/>
          <w:sz w:val="32"/>
          <w:szCs w:val="22"/>
        </w:rPr>
        <w:t>①2个项目在该指南方向的答辩评审中排序前两名；</w:t>
      </w:r>
    </w:p>
    <w:p>
      <w:pPr>
        <w:spacing w:line="596" w:lineRule="exact"/>
        <w:ind w:firstLine="640" w:firstLineChars="200"/>
        <w:rPr>
          <w:rFonts w:eastAsia="方正仿宋_GBK"/>
          <w:color w:val="auto"/>
          <w:sz w:val="32"/>
          <w:szCs w:val="22"/>
        </w:rPr>
      </w:pPr>
      <w:r>
        <w:rPr>
          <w:rFonts w:eastAsia="方正仿宋_GBK"/>
          <w:color w:val="auto"/>
          <w:sz w:val="32"/>
          <w:szCs w:val="22"/>
        </w:rPr>
        <w:t>②2个项目得票率相同，平均分接近；</w:t>
      </w:r>
    </w:p>
    <w:p>
      <w:pPr>
        <w:spacing w:line="596" w:lineRule="exact"/>
        <w:ind w:firstLine="640" w:firstLineChars="200"/>
        <w:rPr>
          <w:rFonts w:eastAsia="方正仿宋_GBK"/>
          <w:color w:val="auto"/>
          <w:sz w:val="32"/>
          <w:szCs w:val="22"/>
        </w:rPr>
      </w:pPr>
      <w:r>
        <w:rPr>
          <w:rFonts w:eastAsia="方正仿宋_GBK"/>
          <w:color w:val="auto"/>
          <w:sz w:val="32"/>
          <w:szCs w:val="22"/>
        </w:rPr>
        <w:t>③经评审专家独立评价，多数专家认为2个项目采取的技术路线明显不同。</w:t>
      </w:r>
    </w:p>
    <w:p>
      <w:pPr>
        <w:spacing w:line="596" w:lineRule="exact"/>
        <w:ind w:firstLine="640" w:firstLineChars="200"/>
        <w:rPr>
          <w:rFonts w:eastAsia="方正仿宋_GBK"/>
          <w:color w:val="auto"/>
          <w:sz w:val="32"/>
          <w:szCs w:val="22"/>
        </w:rPr>
      </w:pPr>
      <w:r>
        <w:rPr>
          <w:rFonts w:eastAsia="方正仿宋_GBK"/>
          <w:color w:val="auto"/>
          <w:sz w:val="32"/>
          <w:szCs w:val="22"/>
        </w:rPr>
        <w:t>8．评审时专家对项目研究内容、目标设计及技术路线、任务分解和进度安排、研发团队及工作基础、预期成果及风险分析等五个方面进行评审打分（具体评审标准附后），并给出是否立项的评审意见。</w:t>
      </w:r>
    </w:p>
    <w:p>
      <w:pPr>
        <w:spacing w:line="596" w:lineRule="exact"/>
        <w:ind w:firstLine="640" w:firstLineChars="200"/>
        <w:rPr>
          <w:rFonts w:eastAsia="方正仿宋_GBK"/>
          <w:color w:val="auto"/>
          <w:sz w:val="32"/>
          <w:szCs w:val="22"/>
        </w:rPr>
      </w:pPr>
      <w:r>
        <w:rPr>
          <w:rFonts w:eastAsia="方正仿宋_GBK"/>
          <w:color w:val="auto"/>
          <w:sz w:val="32"/>
          <w:szCs w:val="22"/>
        </w:rPr>
        <w:t>9．在答辩平均分的基础上，科技型企业申报的项目给予1分的加分，高新技术企业、牛羚企业给予2分的加分，瞪羚企业、独角兽企业给予3分的加分。</w:t>
      </w:r>
    </w:p>
    <w:p>
      <w:pPr>
        <w:spacing w:line="596" w:lineRule="exact"/>
        <w:ind w:firstLine="640" w:firstLineChars="200"/>
        <w:rPr>
          <w:rFonts w:eastAsia="方正仿宋_GBK"/>
          <w:color w:val="auto"/>
          <w:sz w:val="32"/>
          <w:szCs w:val="22"/>
        </w:rPr>
      </w:pPr>
      <w:r>
        <w:rPr>
          <w:rFonts w:eastAsia="方正仿宋_GBK"/>
          <w:color w:val="auto"/>
          <w:sz w:val="32"/>
          <w:szCs w:val="22"/>
        </w:rPr>
        <w:t>10．原则上对项目评审得分的平均分≥75分，</w:t>
      </w:r>
      <w:r>
        <w:rPr>
          <w:rFonts w:hint="eastAsia" w:eastAsia="方正仿宋_GBK"/>
          <w:color w:val="auto"/>
          <w:sz w:val="32"/>
          <w:szCs w:val="22"/>
        </w:rPr>
        <w:t>或者</w:t>
      </w:r>
      <w:r>
        <w:rPr>
          <w:rFonts w:eastAsia="方正仿宋_GBK"/>
          <w:color w:val="auto"/>
          <w:sz w:val="32"/>
          <w:szCs w:val="22"/>
        </w:rPr>
        <w:t>专家支持立项得票率≥50%的项目给予立项支持。</w:t>
      </w:r>
    </w:p>
    <w:p>
      <w:pPr>
        <w:spacing w:line="596" w:lineRule="exact"/>
        <w:ind w:firstLine="640" w:firstLineChars="200"/>
        <w:rPr>
          <w:rFonts w:eastAsia="方正仿宋_GBK"/>
          <w:color w:val="auto"/>
          <w:sz w:val="32"/>
          <w:szCs w:val="22"/>
        </w:rPr>
      </w:pPr>
      <w:r>
        <w:rPr>
          <w:rFonts w:eastAsia="方正仿宋_GBK"/>
          <w:color w:val="auto"/>
          <w:sz w:val="32"/>
          <w:szCs w:val="22"/>
        </w:rPr>
        <w:t>11．技术预见与制度创新专项面上项目每项支持额不超过3万元、重点项目每项支持不超过20万元；技术创新与应用发展专项面上项目每项支持不超过30万元、重点项目每项支持额不超过50万元、重大主题专项每项支持额不超过100万元。区科技局可根据年度预算安排和项目申报情况适度调整资助强度。</w:t>
      </w:r>
    </w:p>
    <w:p>
      <w:pPr>
        <w:spacing w:line="596" w:lineRule="exact"/>
        <w:ind w:firstLine="640" w:firstLineChars="200"/>
        <w:rPr>
          <w:rFonts w:eastAsia="方正仿宋_GBK"/>
          <w:color w:val="auto"/>
          <w:sz w:val="32"/>
          <w:szCs w:val="22"/>
        </w:rPr>
      </w:pPr>
      <w:r>
        <w:rPr>
          <w:rFonts w:eastAsia="方正仿宋_GBK"/>
          <w:color w:val="auto"/>
          <w:sz w:val="32"/>
          <w:szCs w:val="22"/>
        </w:rPr>
        <w:t>12.</w:t>
      </w:r>
      <w:r>
        <w:rPr>
          <w:rFonts w:hint="eastAsia" w:eastAsia="方正仿宋_GBK"/>
          <w:color w:val="auto"/>
          <w:sz w:val="32"/>
          <w:szCs w:val="22"/>
        </w:rPr>
        <w:t xml:space="preserve"> </w:t>
      </w:r>
      <w:r>
        <w:rPr>
          <w:rFonts w:eastAsia="方正仿宋_GBK"/>
          <w:color w:val="auto"/>
          <w:sz w:val="32"/>
          <w:szCs w:val="22"/>
        </w:rPr>
        <w:t>事前资助单个项目金额在30万以下的，一次性拨付，金额在30万以上的，实行分段资助，项目立项并签订任务书后拨付50%，项目通过验收后拨付50%。</w:t>
      </w:r>
    </w:p>
    <w:p>
      <w:pPr>
        <w:spacing w:line="596" w:lineRule="exact"/>
        <w:ind w:firstLine="640" w:firstLineChars="200"/>
        <w:outlineLvl w:val="0"/>
        <w:rPr>
          <w:rFonts w:eastAsia="方正黑体_GBK"/>
          <w:color w:val="auto"/>
          <w:sz w:val="32"/>
          <w:szCs w:val="22"/>
        </w:rPr>
      </w:pPr>
      <w:bookmarkStart w:id="13" w:name="_Toc31947"/>
      <w:bookmarkStart w:id="14" w:name="_Toc28324"/>
      <w:bookmarkStart w:id="15" w:name="_Toc25827"/>
      <w:r>
        <w:rPr>
          <w:rFonts w:eastAsia="方正黑体_GBK"/>
          <w:color w:val="auto"/>
          <w:sz w:val="32"/>
          <w:szCs w:val="22"/>
        </w:rPr>
        <w:t>四、项目下达</w:t>
      </w:r>
      <w:bookmarkEnd w:id="13"/>
      <w:bookmarkEnd w:id="14"/>
      <w:bookmarkEnd w:id="15"/>
    </w:p>
    <w:p>
      <w:pPr>
        <w:spacing w:line="596" w:lineRule="exact"/>
        <w:ind w:firstLine="640" w:firstLineChars="200"/>
        <w:rPr>
          <w:rFonts w:eastAsia="方正仿宋_GBK"/>
          <w:color w:val="auto"/>
          <w:sz w:val="32"/>
          <w:szCs w:val="22"/>
        </w:rPr>
      </w:pPr>
      <w:r>
        <w:rPr>
          <w:rFonts w:eastAsia="方正仿宋_GBK"/>
          <w:color w:val="auto"/>
          <w:sz w:val="32"/>
          <w:szCs w:val="22"/>
        </w:rPr>
        <w:t>13．区政府同意使用科技发展项目资金后，区科技局与</w:t>
      </w:r>
      <w:r>
        <w:rPr>
          <w:rFonts w:hint="eastAsia" w:eastAsia="方正仿宋_GBK"/>
          <w:color w:val="auto"/>
          <w:sz w:val="32"/>
          <w:szCs w:val="22"/>
        </w:rPr>
        <w:t>除事后补助项目外的</w:t>
      </w:r>
      <w:r>
        <w:rPr>
          <w:rFonts w:eastAsia="方正仿宋_GBK"/>
          <w:color w:val="auto"/>
          <w:sz w:val="32"/>
          <w:szCs w:val="22"/>
        </w:rPr>
        <w:t>项目承担单位签订项目立项任务书。项目立项任务书签订后，下达正式立项通知。</w:t>
      </w:r>
    </w:p>
    <w:p>
      <w:pPr>
        <w:spacing w:line="596" w:lineRule="exact"/>
        <w:ind w:firstLine="640" w:firstLineChars="200"/>
        <w:outlineLvl w:val="0"/>
        <w:rPr>
          <w:rFonts w:eastAsia="方正黑体_GBK"/>
          <w:color w:val="auto"/>
          <w:sz w:val="32"/>
          <w:szCs w:val="22"/>
        </w:rPr>
      </w:pPr>
      <w:bookmarkStart w:id="16" w:name="_Toc21204"/>
      <w:bookmarkStart w:id="17" w:name="_Toc26436"/>
      <w:bookmarkStart w:id="18" w:name="_Toc26902"/>
      <w:r>
        <w:rPr>
          <w:rFonts w:eastAsia="方正黑体_GBK"/>
          <w:color w:val="auto"/>
          <w:sz w:val="32"/>
          <w:szCs w:val="22"/>
        </w:rPr>
        <w:t>五、项目管理</w:t>
      </w:r>
      <w:bookmarkEnd w:id="16"/>
      <w:bookmarkEnd w:id="17"/>
      <w:bookmarkEnd w:id="18"/>
    </w:p>
    <w:p>
      <w:pPr>
        <w:spacing w:line="596" w:lineRule="exact"/>
        <w:ind w:firstLine="640" w:firstLineChars="200"/>
        <w:rPr>
          <w:rFonts w:eastAsia="方正仿宋_GBK"/>
          <w:color w:val="auto"/>
          <w:sz w:val="32"/>
          <w:szCs w:val="22"/>
        </w:rPr>
      </w:pPr>
      <w:r>
        <w:rPr>
          <w:rFonts w:eastAsia="方正仿宋_GBK"/>
          <w:color w:val="auto"/>
          <w:sz w:val="32"/>
          <w:szCs w:val="22"/>
        </w:rPr>
        <w:t>14．所有项目超过实施期限的，可申请延期1次，延长时间最长1年。</w:t>
      </w:r>
    </w:p>
    <w:p>
      <w:pPr>
        <w:spacing w:line="596" w:lineRule="exact"/>
        <w:ind w:firstLine="640" w:firstLineChars="200"/>
        <w:rPr>
          <w:rFonts w:eastAsia="方正仿宋_GBK"/>
          <w:color w:val="auto"/>
          <w:sz w:val="32"/>
          <w:szCs w:val="22"/>
        </w:rPr>
      </w:pPr>
      <w:r>
        <w:rPr>
          <w:rFonts w:eastAsia="方正仿宋_GBK"/>
          <w:color w:val="auto"/>
          <w:sz w:val="32"/>
          <w:szCs w:val="22"/>
        </w:rPr>
        <w:t>15．项目任务书内容原则上不作变更，由于不可抗力或其他特殊原因，在研项目不能按项目任务书进度完成的，项目承担单位应向区科技局提出书面申请，经区科技局同意，可调整项目内容，确保项目实施。</w:t>
      </w:r>
    </w:p>
    <w:p>
      <w:pPr>
        <w:spacing w:line="596" w:lineRule="exact"/>
        <w:ind w:firstLine="640" w:firstLineChars="200"/>
        <w:outlineLvl w:val="0"/>
        <w:rPr>
          <w:rFonts w:eastAsia="方正黑体_GBK"/>
          <w:color w:val="auto"/>
          <w:sz w:val="32"/>
          <w:szCs w:val="22"/>
        </w:rPr>
      </w:pPr>
      <w:bookmarkStart w:id="19" w:name="_Toc18633"/>
      <w:bookmarkStart w:id="20" w:name="_Toc17210"/>
      <w:bookmarkStart w:id="21" w:name="_Toc152"/>
      <w:r>
        <w:rPr>
          <w:rFonts w:eastAsia="方正黑体_GBK"/>
          <w:color w:val="auto"/>
          <w:sz w:val="32"/>
          <w:szCs w:val="22"/>
        </w:rPr>
        <w:t>六、项目验收</w:t>
      </w:r>
      <w:bookmarkEnd w:id="19"/>
      <w:bookmarkEnd w:id="20"/>
      <w:bookmarkEnd w:id="21"/>
    </w:p>
    <w:p>
      <w:pPr>
        <w:spacing w:line="596" w:lineRule="exact"/>
        <w:ind w:firstLine="640" w:firstLineChars="200"/>
        <w:rPr>
          <w:rFonts w:eastAsia="方正仿宋_GBK"/>
          <w:color w:val="auto"/>
          <w:sz w:val="32"/>
          <w:szCs w:val="22"/>
        </w:rPr>
      </w:pPr>
      <w:r>
        <w:rPr>
          <w:rFonts w:eastAsia="方正仿宋_GBK"/>
          <w:color w:val="auto"/>
          <w:sz w:val="32"/>
          <w:szCs w:val="22"/>
        </w:rPr>
        <w:t>16．项目完成后，都必须进行验收。项目承担单位必须在项目规定完成日期后三个月内提出申请，并向区科技局提交验收材料。项目提前完成的可申请提前验收。</w:t>
      </w:r>
    </w:p>
    <w:p>
      <w:pPr>
        <w:spacing w:line="596" w:lineRule="exact"/>
        <w:ind w:firstLine="640" w:firstLineChars="200"/>
        <w:rPr>
          <w:rFonts w:eastAsia="方正仿宋_GBK"/>
          <w:color w:val="auto"/>
          <w:sz w:val="32"/>
          <w:szCs w:val="22"/>
        </w:rPr>
      </w:pPr>
      <w:r>
        <w:rPr>
          <w:rFonts w:eastAsia="方正仿宋_GBK"/>
          <w:color w:val="auto"/>
          <w:sz w:val="32"/>
          <w:szCs w:val="22"/>
        </w:rPr>
        <w:t>17．项目验收时应按照项目任务书上规定的内容和确定要考核的技术指标为依据，验收的主要内容有：</w:t>
      </w:r>
    </w:p>
    <w:p>
      <w:pPr>
        <w:spacing w:line="596" w:lineRule="exact"/>
        <w:ind w:firstLine="640" w:firstLineChars="200"/>
        <w:rPr>
          <w:rFonts w:eastAsia="方正仿宋_GBK"/>
          <w:color w:val="auto"/>
          <w:sz w:val="32"/>
          <w:szCs w:val="22"/>
        </w:rPr>
      </w:pPr>
      <w:r>
        <w:rPr>
          <w:rFonts w:eastAsia="方正仿宋_GBK"/>
          <w:color w:val="auto"/>
          <w:sz w:val="32"/>
          <w:szCs w:val="22"/>
        </w:rPr>
        <w:t>（1）按项目任务书规定的各项技术指标为内容的实施情况；</w:t>
      </w:r>
    </w:p>
    <w:p>
      <w:pPr>
        <w:spacing w:line="596" w:lineRule="exact"/>
        <w:ind w:firstLine="640" w:firstLineChars="200"/>
        <w:rPr>
          <w:rFonts w:eastAsia="方正仿宋_GBK"/>
          <w:color w:val="auto"/>
          <w:sz w:val="32"/>
          <w:szCs w:val="22"/>
        </w:rPr>
      </w:pPr>
      <w:r>
        <w:rPr>
          <w:rFonts w:eastAsia="方正仿宋_GBK"/>
          <w:color w:val="auto"/>
          <w:sz w:val="32"/>
          <w:szCs w:val="22"/>
        </w:rPr>
        <w:t>（2）科技成果应用、知识产权保护及运用情况；</w:t>
      </w:r>
    </w:p>
    <w:p>
      <w:pPr>
        <w:spacing w:line="596" w:lineRule="exact"/>
        <w:ind w:firstLine="640" w:firstLineChars="200"/>
        <w:rPr>
          <w:rFonts w:eastAsia="方正仿宋_GBK"/>
          <w:color w:val="auto"/>
          <w:sz w:val="32"/>
          <w:szCs w:val="22"/>
        </w:rPr>
      </w:pPr>
      <w:r>
        <w:rPr>
          <w:rFonts w:eastAsia="方正仿宋_GBK"/>
          <w:color w:val="auto"/>
          <w:sz w:val="32"/>
          <w:szCs w:val="22"/>
        </w:rPr>
        <w:t>（3）资金到位及经费使用的合理性、规范性。</w:t>
      </w:r>
    </w:p>
    <w:p>
      <w:pPr>
        <w:spacing w:line="596" w:lineRule="exact"/>
        <w:ind w:firstLine="640" w:firstLineChars="200"/>
        <w:rPr>
          <w:rFonts w:eastAsia="方正仿宋_GBK"/>
          <w:color w:val="auto"/>
          <w:sz w:val="32"/>
          <w:szCs w:val="22"/>
        </w:rPr>
      </w:pPr>
      <w:r>
        <w:rPr>
          <w:rFonts w:eastAsia="方正仿宋_GBK"/>
          <w:color w:val="auto"/>
          <w:sz w:val="32"/>
          <w:szCs w:val="22"/>
        </w:rPr>
        <w:t>18．项目验收需要提交的资料</w:t>
      </w:r>
    </w:p>
    <w:p>
      <w:pPr>
        <w:spacing w:line="596" w:lineRule="exact"/>
        <w:ind w:firstLine="640" w:firstLineChars="200"/>
        <w:rPr>
          <w:rFonts w:eastAsia="方正仿宋_GBK"/>
          <w:color w:val="auto"/>
          <w:sz w:val="32"/>
          <w:szCs w:val="22"/>
        </w:rPr>
      </w:pPr>
      <w:r>
        <w:rPr>
          <w:rFonts w:eastAsia="方正仿宋_GBK"/>
          <w:color w:val="auto"/>
          <w:sz w:val="32"/>
          <w:szCs w:val="22"/>
        </w:rPr>
        <w:t>（1）项目验收申请表；</w:t>
      </w:r>
    </w:p>
    <w:p>
      <w:pPr>
        <w:spacing w:line="596" w:lineRule="exact"/>
        <w:ind w:firstLine="640" w:firstLineChars="200"/>
        <w:rPr>
          <w:rFonts w:eastAsia="方正仿宋_GBK"/>
          <w:color w:val="auto"/>
          <w:sz w:val="32"/>
          <w:szCs w:val="22"/>
        </w:rPr>
      </w:pPr>
      <w:r>
        <w:rPr>
          <w:rFonts w:eastAsia="方正仿宋_GBK"/>
          <w:color w:val="auto"/>
          <w:sz w:val="32"/>
          <w:szCs w:val="22"/>
        </w:rPr>
        <w:t>（2）项目完成后取得的成果（专利、高品、重点新产品）等复印件；</w:t>
      </w:r>
    </w:p>
    <w:p>
      <w:pPr>
        <w:spacing w:line="596" w:lineRule="exact"/>
        <w:ind w:firstLine="640" w:firstLineChars="200"/>
        <w:rPr>
          <w:rFonts w:eastAsia="方正仿宋_GBK"/>
          <w:color w:val="auto"/>
          <w:sz w:val="32"/>
          <w:szCs w:val="22"/>
        </w:rPr>
      </w:pPr>
      <w:r>
        <w:rPr>
          <w:rFonts w:eastAsia="方正仿宋_GBK"/>
          <w:color w:val="auto"/>
          <w:sz w:val="32"/>
          <w:szCs w:val="22"/>
        </w:rPr>
        <w:t>（3）项目经费使用情况明细表。</w:t>
      </w:r>
    </w:p>
    <w:p>
      <w:pPr>
        <w:spacing w:line="596" w:lineRule="exact"/>
        <w:ind w:firstLine="640" w:firstLineChars="200"/>
        <w:rPr>
          <w:rFonts w:eastAsia="方正仿宋_GBK"/>
          <w:color w:val="auto"/>
          <w:sz w:val="32"/>
          <w:szCs w:val="22"/>
        </w:rPr>
      </w:pPr>
      <w:r>
        <w:rPr>
          <w:rFonts w:eastAsia="方正仿宋_GBK"/>
          <w:color w:val="auto"/>
          <w:sz w:val="32"/>
          <w:szCs w:val="22"/>
        </w:rPr>
        <w:t>19．区科技局组织专家组对项目实施验收，根据项目情况可采取审核验收、会议验收、现场验收。</w:t>
      </w:r>
    </w:p>
    <w:p>
      <w:pPr>
        <w:spacing w:line="596" w:lineRule="exact"/>
        <w:ind w:firstLine="640" w:firstLineChars="200"/>
        <w:rPr>
          <w:rFonts w:eastAsia="方正仿宋_GBK"/>
          <w:color w:val="auto"/>
          <w:sz w:val="32"/>
          <w:szCs w:val="22"/>
        </w:rPr>
      </w:pPr>
      <w:r>
        <w:rPr>
          <w:rFonts w:eastAsia="方正仿宋_GBK"/>
          <w:color w:val="auto"/>
          <w:sz w:val="32"/>
          <w:szCs w:val="22"/>
        </w:rPr>
        <w:t>20．对验收资料齐全，数据真实，经费使用基本合理，完成或基本完成项目任务书规定的各项指标的项目给予“验收通过”。未达到通过验收要求的限期整改，整改时限到期后仍未通过验收的项目，须退回在实施该项目中未使用的部分资金，拒不退回的，依法追究相关责任，并三年内不再给予项目承担单位和项目负责人任何科技项目支持。</w:t>
      </w:r>
    </w:p>
    <w:p>
      <w:pPr>
        <w:spacing w:line="596" w:lineRule="exact"/>
        <w:ind w:firstLine="640" w:firstLineChars="200"/>
        <w:outlineLvl w:val="0"/>
        <w:rPr>
          <w:rFonts w:eastAsia="方正黑体_GBK"/>
          <w:color w:val="auto"/>
          <w:sz w:val="32"/>
          <w:szCs w:val="22"/>
        </w:rPr>
      </w:pPr>
      <w:bookmarkStart w:id="22" w:name="_Toc15138"/>
      <w:bookmarkStart w:id="23" w:name="_Toc4102"/>
      <w:bookmarkStart w:id="24" w:name="_Toc18362"/>
      <w:r>
        <w:rPr>
          <w:rFonts w:eastAsia="方正黑体_GBK"/>
          <w:color w:val="auto"/>
          <w:sz w:val="32"/>
          <w:szCs w:val="22"/>
        </w:rPr>
        <w:t>七、附则</w:t>
      </w:r>
      <w:bookmarkEnd w:id="22"/>
      <w:bookmarkEnd w:id="23"/>
      <w:bookmarkEnd w:id="24"/>
    </w:p>
    <w:p>
      <w:pPr>
        <w:spacing w:line="596" w:lineRule="exact"/>
        <w:ind w:firstLine="640" w:firstLineChars="200"/>
        <w:rPr>
          <w:rFonts w:eastAsia="方正仿宋_GBK"/>
          <w:color w:val="auto"/>
          <w:sz w:val="32"/>
          <w:szCs w:val="22"/>
        </w:rPr>
      </w:pPr>
      <w:r>
        <w:rPr>
          <w:rFonts w:eastAsia="方正仿宋_GBK"/>
          <w:color w:val="auto"/>
          <w:sz w:val="32"/>
          <w:szCs w:val="22"/>
        </w:rPr>
        <w:t>21．项目由区派驻纪检监察组全过程监督。</w:t>
      </w:r>
    </w:p>
    <w:p>
      <w:pPr>
        <w:spacing w:line="596" w:lineRule="exact"/>
        <w:ind w:firstLine="640" w:firstLineChars="200"/>
        <w:rPr>
          <w:rFonts w:eastAsia="方正仿宋_GBK"/>
          <w:color w:val="auto"/>
          <w:sz w:val="32"/>
          <w:szCs w:val="22"/>
        </w:rPr>
      </w:pPr>
      <w:r>
        <w:rPr>
          <w:rFonts w:eastAsia="方正仿宋_GBK"/>
          <w:color w:val="auto"/>
          <w:sz w:val="32"/>
          <w:szCs w:val="22"/>
        </w:rPr>
        <w:t>22.本实施细则自发布之日起执行。原《重庆市大足区科学技术局关于印发&lt;重庆市大足区科技发展项目实施细则&gt;的通知》（大足科发〔2022〕23号）同时废止。</w:t>
      </w:r>
    </w:p>
    <w:p>
      <w:pPr>
        <w:rPr>
          <w:rFonts w:eastAsia="方正黑体_GBK"/>
          <w:color w:val="000000"/>
          <w:sz w:val="32"/>
          <w:szCs w:val="32"/>
        </w:rPr>
      </w:pPr>
    </w:p>
    <w:p>
      <w:r>
        <w:rPr>
          <w:rFonts w:eastAsia="方正黑体_GBK"/>
          <w:color w:val="000000"/>
          <w:sz w:val="32"/>
          <w:szCs w:val="32"/>
        </w:rPr>
        <w:t>附件</w:t>
      </w:r>
    </w:p>
    <w:p>
      <w:pPr>
        <w:spacing w:line="600" w:lineRule="exact"/>
        <w:jc w:val="center"/>
        <w:rPr>
          <w:rFonts w:eastAsia="方正小标宋_GBK"/>
          <w:sz w:val="44"/>
          <w:szCs w:val="44"/>
        </w:rPr>
      </w:pPr>
      <w:r>
        <w:rPr>
          <w:rFonts w:eastAsia="方正小标宋_GBK"/>
          <w:sz w:val="44"/>
          <w:szCs w:val="44"/>
        </w:rPr>
        <w:t>科技发展项目答辩评审指标</w:t>
      </w:r>
    </w:p>
    <w:tbl>
      <w:tblPr>
        <w:tblStyle w:val="8"/>
        <w:tblpPr w:leftFromText="180" w:rightFromText="180" w:vertAnchor="text" w:horzAnchor="page" w:tblpX="1387" w:tblpY="373"/>
        <w:tblOverlap w:val="never"/>
        <w:tblW w:w="97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46"/>
        <w:gridCol w:w="3999"/>
        <w:gridCol w:w="919"/>
        <w:gridCol w:w="1106"/>
        <w:gridCol w:w="18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6" w:type="dxa"/>
            <w:noWrap w:val="0"/>
            <w:vAlign w:val="center"/>
          </w:tcPr>
          <w:p>
            <w:pPr>
              <w:pStyle w:val="14"/>
              <w:widowControl/>
              <w:spacing w:line="360" w:lineRule="exact"/>
              <w:jc w:val="center"/>
              <w:textAlignment w:val="baseline"/>
              <w:rPr>
                <w:rFonts w:eastAsia="方正黑体_GBK"/>
                <w:color w:val="000000"/>
                <w:spacing w:val="8"/>
                <w:shd w:val="clear" w:color="auto" w:fill="FFFFFF"/>
              </w:rPr>
            </w:pPr>
            <w:r>
              <w:rPr>
                <w:rFonts w:eastAsia="方正黑体_GBK"/>
                <w:color w:val="000000"/>
                <w:spacing w:val="8"/>
                <w:shd w:val="clear" w:color="auto" w:fill="FFFFFF"/>
              </w:rPr>
              <w:t>评审内容</w:t>
            </w:r>
          </w:p>
        </w:tc>
        <w:tc>
          <w:tcPr>
            <w:tcW w:w="3999" w:type="dxa"/>
            <w:noWrap w:val="0"/>
            <w:vAlign w:val="center"/>
          </w:tcPr>
          <w:p>
            <w:pPr>
              <w:pStyle w:val="14"/>
              <w:widowControl/>
              <w:spacing w:line="360" w:lineRule="exact"/>
              <w:jc w:val="center"/>
              <w:textAlignment w:val="baseline"/>
              <w:rPr>
                <w:rFonts w:eastAsia="方正黑体_GBK"/>
                <w:color w:val="000000"/>
                <w:spacing w:val="8"/>
                <w:shd w:val="clear" w:color="auto" w:fill="FFFFFF"/>
              </w:rPr>
            </w:pPr>
            <w:r>
              <w:rPr>
                <w:rFonts w:eastAsia="方正黑体_GBK"/>
                <w:color w:val="000000"/>
                <w:spacing w:val="8"/>
                <w:shd w:val="clear" w:color="auto" w:fill="FFFFFF"/>
              </w:rPr>
              <w:t>评价指标</w:t>
            </w:r>
          </w:p>
        </w:tc>
        <w:tc>
          <w:tcPr>
            <w:tcW w:w="919" w:type="dxa"/>
            <w:noWrap w:val="0"/>
            <w:vAlign w:val="center"/>
          </w:tcPr>
          <w:p>
            <w:pPr>
              <w:pStyle w:val="14"/>
              <w:widowControl/>
              <w:spacing w:line="360" w:lineRule="exact"/>
              <w:jc w:val="center"/>
              <w:textAlignment w:val="baseline"/>
              <w:rPr>
                <w:rFonts w:eastAsia="方正黑体_GBK"/>
                <w:color w:val="000000"/>
                <w:spacing w:val="8"/>
                <w:shd w:val="clear" w:color="auto" w:fill="FFFFFF"/>
              </w:rPr>
            </w:pPr>
            <w:r>
              <w:rPr>
                <w:rFonts w:eastAsia="方正黑体_GBK"/>
                <w:color w:val="000000"/>
                <w:spacing w:val="8"/>
                <w:shd w:val="clear" w:color="auto" w:fill="FFFFFF"/>
              </w:rPr>
              <w:t>分值</w:t>
            </w:r>
          </w:p>
        </w:tc>
        <w:tc>
          <w:tcPr>
            <w:tcW w:w="1106" w:type="dxa"/>
            <w:noWrap w:val="0"/>
            <w:vAlign w:val="center"/>
          </w:tcPr>
          <w:p>
            <w:pPr>
              <w:pStyle w:val="14"/>
              <w:widowControl/>
              <w:spacing w:line="360" w:lineRule="exact"/>
              <w:jc w:val="center"/>
              <w:textAlignment w:val="baseline"/>
              <w:rPr>
                <w:rFonts w:eastAsia="方正黑体_GBK"/>
                <w:color w:val="000000"/>
                <w:spacing w:val="8"/>
                <w:shd w:val="clear" w:color="auto" w:fill="FFFFFF"/>
              </w:rPr>
            </w:pPr>
            <w:r>
              <w:rPr>
                <w:rFonts w:eastAsia="方正黑体_GBK"/>
                <w:color w:val="000000"/>
                <w:spacing w:val="8"/>
                <w:shd w:val="clear" w:color="auto" w:fill="FFFFFF"/>
              </w:rPr>
              <w:t>得分</w:t>
            </w:r>
          </w:p>
        </w:tc>
        <w:tc>
          <w:tcPr>
            <w:tcW w:w="1860" w:type="dxa"/>
            <w:noWrap w:val="0"/>
            <w:vAlign w:val="center"/>
          </w:tcPr>
          <w:p>
            <w:pPr>
              <w:pStyle w:val="14"/>
              <w:widowControl/>
              <w:spacing w:line="360" w:lineRule="exact"/>
              <w:jc w:val="center"/>
              <w:textAlignment w:val="baseline"/>
              <w:rPr>
                <w:rFonts w:eastAsia="方正黑体_GBK"/>
                <w:color w:val="000000"/>
                <w:spacing w:val="8"/>
                <w:shd w:val="clear" w:color="auto" w:fill="FFFFFF"/>
              </w:rPr>
            </w:pPr>
            <w:r>
              <w:rPr>
                <w:rFonts w:eastAsia="方正黑体_GBK"/>
                <w:color w:val="000000"/>
                <w:spacing w:val="8"/>
                <w:shd w:val="clear" w:color="auto" w:fill="FFFFFF"/>
              </w:rPr>
              <w:t>建议是否立项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6" w:type="dxa"/>
            <w:noWrap w:val="0"/>
            <w:vAlign w:val="center"/>
          </w:tcPr>
          <w:p>
            <w:pPr>
              <w:pStyle w:val="14"/>
              <w:widowControl/>
              <w:spacing w:line="360" w:lineRule="exact"/>
              <w:textAlignment w:val="baseline"/>
              <w:rPr>
                <w:rFonts w:eastAsia="方正仿宋_GBK"/>
                <w:color w:val="000000"/>
                <w:spacing w:val="8"/>
                <w:shd w:val="clear" w:color="auto" w:fill="FFFFFF"/>
              </w:rPr>
            </w:pPr>
            <w:r>
              <w:rPr>
                <w:rFonts w:eastAsia="方正仿宋_GBK"/>
                <w:color w:val="000000"/>
                <w:spacing w:val="8"/>
                <w:shd w:val="clear" w:color="auto" w:fill="FFFFFF"/>
              </w:rPr>
              <w:t>一、研究内容</w:t>
            </w:r>
          </w:p>
        </w:tc>
        <w:tc>
          <w:tcPr>
            <w:tcW w:w="3999" w:type="dxa"/>
            <w:noWrap w:val="0"/>
            <w:vAlign w:val="top"/>
          </w:tcPr>
          <w:p>
            <w:pPr>
              <w:pStyle w:val="14"/>
              <w:widowControl/>
              <w:spacing w:line="360" w:lineRule="exact"/>
              <w:textAlignment w:val="baseline"/>
              <w:rPr>
                <w:rFonts w:eastAsia="方正仿宋_GBK"/>
                <w:color w:val="000000"/>
                <w:spacing w:val="8"/>
                <w:shd w:val="clear" w:color="auto" w:fill="FFFFFF"/>
              </w:rPr>
            </w:pPr>
            <w:r>
              <w:rPr>
                <w:rFonts w:eastAsia="方正仿宋_GBK"/>
                <w:color w:val="000000"/>
                <w:spacing w:val="8"/>
                <w:shd w:val="clear" w:color="auto" w:fill="FFFFFF"/>
              </w:rPr>
              <w:t>1、研究内容是否符合指南要求；</w:t>
            </w:r>
          </w:p>
          <w:p>
            <w:pPr>
              <w:pStyle w:val="14"/>
              <w:widowControl/>
              <w:spacing w:line="360" w:lineRule="exact"/>
              <w:textAlignment w:val="baseline"/>
              <w:rPr>
                <w:rFonts w:eastAsia="方正仿宋_GBK"/>
                <w:color w:val="000000"/>
                <w:spacing w:val="8"/>
                <w:shd w:val="clear" w:color="auto" w:fill="FFFFFF"/>
              </w:rPr>
            </w:pPr>
            <w:r>
              <w:rPr>
                <w:rFonts w:eastAsia="方正仿宋_GBK"/>
                <w:color w:val="000000"/>
                <w:spacing w:val="8"/>
                <w:shd w:val="clear" w:color="auto" w:fill="FFFFFF"/>
              </w:rPr>
              <w:t>2、对国内外现状及趋势分析是否准确全面；</w:t>
            </w:r>
          </w:p>
          <w:p>
            <w:pPr>
              <w:pStyle w:val="14"/>
              <w:widowControl/>
              <w:spacing w:line="360" w:lineRule="exact"/>
              <w:textAlignment w:val="baseline"/>
              <w:rPr>
                <w:rFonts w:eastAsia="方正仿宋_GBK"/>
                <w:color w:val="000000"/>
                <w:spacing w:val="8"/>
                <w:shd w:val="clear" w:color="auto" w:fill="FFFFFF"/>
              </w:rPr>
            </w:pPr>
            <w:r>
              <w:rPr>
                <w:rFonts w:eastAsia="方正仿宋_GBK"/>
                <w:color w:val="000000"/>
                <w:spacing w:val="8"/>
                <w:shd w:val="clear" w:color="auto" w:fill="FFFFFF"/>
              </w:rPr>
              <w:t>3、研究内容的创新性、前瞻性和时效性。</w:t>
            </w:r>
          </w:p>
        </w:tc>
        <w:tc>
          <w:tcPr>
            <w:tcW w:w="919" w:type="dxa"/>
            <w:noWrap w:val="0"/>
            <w:vAlign w:val="center"/>
          </w:tcPr>
          <w:p>
            <w:pPr>
              <w:pStyle w:val="14"/>
              <w:widowControl/>
              <w:spacing w:line="360" w:lineRule="exact"/>
              <w:textAlignment w:val="baseline"/>
              <w:rPr>
                <w:rFonts w:eastAsia="方正仿宋_GBK"/>
                <w:color w:val="000000"/>
                <w:spacing w:val="8"/>
                <w:shd w:val="clear" w:color="auto" w:fill="FFFFFF"/>
              </w:rPr>
            </w:pPr>
            <w:r>
              <w:rPr>
                <w:rFonts w:eastAsia="方正仿宋_GBK"/>
                <w:color w:val="000000"/>
                <w:spacing w:val="8"/>
                <w:shd w:val="clear" w:color="auto" w:fill="FFFFFF"/>
              </w:rPr>
              <w:t>30</w:t>
            </w:r>
          </w:p>
        </w:tc>
        <w:tc>
          <w:tcPr>
            <w:tcW w:w="1106" w:type="dxa"/>
            <w:noWrap w:val="0"/>
            <w:vAlign w:val="top"/>
          </w:tcPr>
          <w:p>
            <w:pPr>
              <w:pStyle w:val="14"/>
              <w:widowControl/>
              <w:spacing w:line="360" w:lineRule="exact"/>
              <w:textAlignment w:val="baseline"/>
              <w:rPr>
                <w:rFonts w:eastAsia="方正仿宋_GBK"/>
                <w:color w:val="000000"/>
                <w:spacing w:val="8"/>
                <w:shd w:val="clear" w:color="auto" w:fill="FFFFFF"/>
              </w:rPr>
            </w:pPr>
          </w:p>
        </w:tc>
        <w:tc>
          <w:tcPr>
            <w:tcW w:w="1860" w:type="dxa"/>
            <w:noWrap w:val="0"/>
            <w:vAlign w:val="top"/>
          </w:tcPr>
          <w:p>
            <w:pPr>
              <w:pStyle w:val="14"/>
              <w:widowControl/>
              <w:spacing w:line="360" w:lineRule="exact"/>
              <w:textAlignment w:val="baseline"/>
              <w:rPr>
                <w:rFonts w:eastAsia="方正仿宋_GBK"/>
                <w:color w:val="000000"/>
                <w:spacing w:val="8"/>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6" w:type="dxa"/>
            <w:noWrap w:val="0"/>
            <w:vAlign w:val="center"/>
          </w:tcPr>
          <w:p>
            <w:pPr>
              <w:pStyle w:val="14"/>
              <w:widowControl/>
              <w:spacing w:line="360" w:lineRule="exact"/>
              <w:textAlignment w:val="baseline"/>
              <w:rPr>
                <w:rFonts w:eastAsia="方正仿宋_GBK"/>
                <w:color w:val="000000"/>
                <w:spacing w:val="8"/>
                <w:shd w:val="clear" w:color="auto" w:fill="FFFFFF"/>
              </w:rPr>
            </w:pPr>
            <w:r>
              <w:rPr>
                <w:rFonts w:eastAsia="方正仿宋_GBK"/>
                <w:color w:val="000000"/>
                <w:spacing w:val="8"/>
                <w:shd w:val="clear" w:color="auto" w:fill="FFFFFF"/>
              </w:rPr>
              <w:t>二、目标设置及技术路线</w:t>
            </w:r>
          </w:p>
        </w:tc>
        <w:tc>
          <w:tcPr>
            <w:tcW w:w="3999" w:type="dxa"/>
            <w:noWrap w:val="0"/>
            <w:vAlign w:val="top"/>
          </w:tcPr>
          <w:p>
            <w:pPr>
              <w:pStyle w:val="14"/>
              <w:widowControl/>
              <w:spacing w:line="360" w:lineRule="exact"/>
              <w:textAlignment w:val="baseline"/>
              <w:rPr>
                <w:rFonts w:eastAsia="方正仿宋_GBK"/>
                <w:color w:val="000000"/>
                <w:spacing w:val="8"/>
                <w:shd w:val="clear" w:color="auto" w:fill="FFFFFF"/>
              </w:rPr>
            </w:pPr>
            <w:r>
              <w:rPr>
                <w:rFonts w:eastAsia="方正仿宋_GBK"/>
                <w:color w:val="000000"/>
                <w:spacing w:val="8"/>
                <w:shd w:val="clear" w:color="auto" w:fill="FFFFFF"/>
              </w:rPr>
              <w:t>1、项目目标是否明确清晰、突出重点；</w:t>
            </w:r>
          </w:p>
          <w:p>
            <w:pPr>
              <w:pStyle w:val="14"/>
              <w:widowControl/>
              <w:spacing w:line="360" w:lineRule="exact"/>
              <w:textAlignment w:val="baseline"/>
              <w:rPr>
                <w:rFonts w:eastAsia="方正仿宋_GBK"/>
                <w:color w:val="000000"/>
                <w:spacing w:val="8"/>
                <w:shd w:val="clear" w:color="auto" w:fill="FFFFFF"/>
              </w:rPr>
            </w:pPr>
            <w:r>
              <w:rPr>
                <w:rFonts w:eastAsia="方正仿宋_GBK"/>
                <w:color w:val="000000"/>
                <w:spacing w:val="8"/>
                <w:shd w:val="clear" w:color="auto" w:fill="FFFFFF"/>
              </w:rPr>
              <w:t>2、主要技术路线及研究方法是否合理可行，具有创新性；</w:t>
            </w:r>
          </w:p>
          <w:p>
            <w:pPr>
              <w:pStyle w:val="14"/>
              <w:widowControl/>
              <w:spacing w:line="360" w:lineRule="exact"/>
              <w:textAlignment w:val="baseline"/>
              <w:rPr>
                <w:rFonts w:eastAsia="方正仿宋_GBK"/>
                <w:color w:val="000000"/>
                <w:spacing w:val="8"/>
                <w:shd w:val="clear" w:color="auto" w:fill="FFFFFF"/>
              </w:rPr>
            </w:pPr>
            <w:r>
              <w:rPr>
                <w:rFonts w:eastAsia="方正仿宋_GBK"/>
                <w:color w:val="000000"/>
                <w:spacing w:val="8"/>
                <w:shd w:val="clear" w:color="auto" w:fill="FFFFFF"/>
              </w:rPr>
              <w:t>3、考核指标是否合理、量化、可考核。</w:t>
            </w:r>
          </w:p>
        </w:tc>
        <w:tc>
          <w:tcPr>
            <w:tcW w:w="919" w:type="dxa"/>
            <w:noWrap w:val="0"/>
            <w:vAlign w:val="center"/>
          </w:tcPr>
          <w:p>
            <w:pPr>
              <w:pStyle w:val="14"/>
              <w:widowControl/>
              <w:spacing w:line="360" w:lineRule="exact"/>
              <w:textAlignment w:val="baseline"/>
              <w:rPr>
                <w:rFonts w:eastAsia="方正仿宋_GBK"/>
                <w:color w:val="000000"/>
                <w:spacing w:val="8"/>
                <w:shd w:val="clear" w:color="auto" w:fill="FFFFFF"/>
              </w:rPr>
            </w:pPr>
            <w:r>
              <w:rPr>
                <w:rFonts w:eastAsia="方正仿宋_GBK"/>
                <w:color w:val="000000"/>
                <w:spacing w:val="8"/>
                <w:shd w:val="clear" w:color="auto" w:fill="FFFFFF"/>
              </w:rPr>
              <w:t>20</w:t>
            </w:r>
          </w:p>
        </w:tc>
        <w:tc>
          <w:tcPr>
            <w:tcW w:w="1106" w:type="dxa"/>
            <w:noWrap w:val="0"/>
            <w:vAlign w:val="top"/>
          </w:tcPr>
          <w:p>
            <w:pPr>
              <w:pStyle w:val="14"/>
              <w:widowControl/>
              <w:spacing w:line="360" w:lineRule="exact"/>
              <w:textAlignment w:val="baseline"/>
              <w:rPr>
                <w:rFonts w:eastAsia="方正仿宋_GBK"/>
                <w:color w:val="000000"/>
                <w:spacing w:val="8"/>
                <w:shd w:val="clear" w:color="auto" w:fill="FFFFFF"/>
              </w:rPr>
            </w:pPr>
          </w:p>
        </w:tc>
        <w:tc>
          <w:tcPr>
            <w:tcW w:w="1860" w:type="dxa"/>
            <w:noWrap w:val="0"/>
            <w:vAlign w:val="top"/>
          </w:tcPr>
          <w:p>
            <w:pPr>
              <w:pStyle w:val="14"/>
              <w:widowControl/>
              <w:spacing w:line="360" w:lineRule="exact"/>
              <w:textAlignment w:val="baseline"/>
              <w:rPr>
                <w:rFonts w:eastAsia="方正仿宋_GBK"/>
                <w:color w:val="000000"/>
                <w:spacing w:val="8"/>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6" w:type="dxa"/>
            <w:noWrap w:val="0"/>
            <w:vAlign w:val="center"/>
          </w:tcPr>
          <w:p>
            <w:pPr>
              <w:pStyle w:val="14"/>
              <w:widowControl/>
              <w:spacing w:line="360" w:lineRule="exact"/>
              <w:textAlignment w:val="baseline"/>
              <w:rPr>
                <w:rFonts w:eastAsia="方正仿宋_GBK"/>
                <w:color w:val="000000"/>
                <w:spacing w:val="8"/>
                <w:shd w:val="clear" w:color="auto" w:fill="FFFFFF"/>
              </w:rPr>
            </w:pPr>
            <w:r>
              <w:rPr>
                <w:rFonts w:eastAsia="方正仿宋_GBK"/>
                <w:color w:val="000000"/>
                <w:spacing w:val="8"/>
                <w:shd w:val="clear" w:color="auto" w:fill="FFFFFF"/>
              </w:rPr>
              <w:t>三、任务分解和进度安排</w:t>
            </w:r>
          </w:p>
        </w:tc>
        <w:tc>
          <w:tcPr>
            <w:tcW w:w="3999" w:type="dxa"/>
            <w:noWrap w:val="0"/>
            <w:vAlign w:val="top"/>
          </w:tcPr>
          <w:p>
            <w:pPr>
              <w:pStyle w:val="14"/>
              <w:widowControl/>
              <w:spacing w:line="360" w:lineRule="exact"/>
              <w:textAlignment w:val="baseline"/>
              <w:rPr>
                <w:rFonts w:eastAsia="方正仿宋_GBK"/>
                <w:color w:val="000000"/>
                <w:spacing w:val="8"/>
                <w:shd w:val="clear" w:color="auto" w:fill="FFFFFF"/>
              </w:rPr>
            </w:pPr>
            <w:r>
              <w:rPr>
                <w:rFonts w:eastAsia="方正仿宋_GBK"/>
                <w:color w:val="000000"/>
                <w:spacing w:val="8"/>
                <w:shd w:val="clear" w:color="auto" w:fill="FFFFFF"/>
              </w:rPr>
              <w:t>1、任务（课题）设置的科学性和系统性；</w:t>
            </w:r>
          </w:p>
          <w:p>
            <w:pPr>
              <w:pStyle w:val="14"/>
              <w:widowControl/>
              <w:spacing w:line="360" w:lineRule="exact"/>
              <w:textAlignment w:val="baseline"/>
              <w:rPr>
                <w:rFonts w:eastAsia="方正仿宋_GBK"/>
                <w:color w:val="000000"/>
                <w:spacing w:val="8"/>
                <w:shd w:val="clear" w:color="auto" w:fill="FFFFFF"/>
              </w:rPr>
            </w:pPr>
            <w:r>
              <w:rPr>
                <w:rFonts w:eastAsia="方正仿宋_GBK"/>
                <w:color w:val="000000"/>
                <w:spacing w:val="8"/>
                <w:shd w:val="clear" w:color="auto" w:fill="FFFFFF"/>
              </w:rPr>
              <w:t>2、工作进度安排的合理性和可行性。</w:t>
            </w:r>
          </w:p>
        </w:tc>
        <w:tc>
          <w:tcPr>
            <w:tcW w:w="919" w:type="dxa"/>
            <w:noWrap w:val="0"/>
            <w:vAlign w:val="center"/>
          </w:tcPr>
          <w:p>
            <w:pPr>
              <w:pStyle w:val="14"/>
              <w:widowControl/>
              <w:spacing w:line="360" w:lineRule="exact"/>
              <w:textAlignment w:val="baseline"/>
              <w:rPr>
                <w:rFonts w:eastAsia="方正仿宋_GBK"/>
                <w:color w:val="000000"/>
                <w:spacing w:val="8"/>
                <w:shd w:val="clear" w:color="auto" w:fill="FFFFFF"/>
              </w:rPr>
            </w:pPr>
            <w:r>
              <w:rPr>
                <w:rFonts w:eastAsia="方正仿宋_GBK"/>
                <w:color w:val="000000"/>
                <w:spacing w:val="8"/>
                <w:shd w:val="clear" w:color="auto" w:fill="FFFFFF"/>
              </w:rPr>
              <w:t>20</w:t>
            </w:r>
          </w:p>
        </w:tc>
        <w:tc>
          <w:tcPr>
            <w:tcW w:w="1106" w:type="dxa"/>
            <w:noWrap w:val="0"/>
            <w:vAlign w:val="top"/>
          </w:tcPr>
          <w:p>
            <w:pPr>
              <w:pStyle w:val="14"/>
              <w:widowControl/>
              <w:spacing w:line="360" w:lineRule="exact"/>
              <w:textAlignment w:val="baseline"/>
              <w:rPr>
                <w:rFonts w:eastAsia="方正仿宋_GBK"/>
                <w:color w:val="000000"/>
                <w:spacing w:val="8"/>
                <w:shd w:val="clear" w:color="auto" w:fill="FFFFFF"/>
              </w:rPr>
            </w:pPr>
          </w:p>
        </w:tc>
        <w:tc>
          <w:tcPr>
            <w:tcW w:w="1860" w:type="dxa"/>
            <w:noWrap w:val="0"/>
            <w:vAlign w:val="top"/>
          </w:tcPr>
          <w:p>
            <w:pPr>
              <w:pStyle w:val="14"/>
              <w:widowControl/>
              <w:spacing w:line="360" w:lineRule="exact"/>
              <w:textAlignment w:val="baseline"/>
              <w:rPr>
                <w:rFonts w:eastAsia="方正仿宋_GBK"/>
                <w:color w:val="000000"/>
                <w:spacing w:val="8"/>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6" w:type="dxa"/>
            <w:noWrap w:val="0"/>
            <w:vAlign w:val="center"/>
          </w:tcPr>
          <w:p>
            <w:pPr>
              <w:pStyle w:val="14"/>
              <w:widowControl/>
              <w:spacing w:line="360" w:lineRule="exact"/>
              <w:textAlignment w:val="baseline"/>
              <w:rPr>
                <w:rFonts w:eastAsia="方正仿宋_GBK"/>
                <w:color w:val="000000"/>
                <w:spacing w:val="8"/>
                <w:shd w:val="clear" w:color="auto" w:fill="FFFFFF"/>
              </w:rPr>
            </w:pPr>
            <w:r>
              <w:rPr>
                <w:rFonts w:eastAsia="方正仿宋_GBK"/>
                <w:color w:val="000000"/>
                <w:spacing w:val="8"/>
                <w:shd w:val="clear" w:color="auto" w:fill="FFFFFF"/>
              </w:rPr>
              <w:t>四、研发团队及工作基础</w:t>
            </w:r>
          </w:p>
        </w:tc>
        <w:tc>
          <w:tcPr>
            <w:tcW w:w="3999" w:type="dxa"/>
            <w:noWrap w:val="0"/>
            <w:vAlign w:val="top"/>
          </w:tcPr>
          <w:p>
            <w:pPr>
              <w:pStyle w:val="14"/>
              <w:widowControl/>
              <w:spacing w:line="360" w:lineRule="exact"/>
              <w:textAlignment w:val="baseline"/>
              <w:rPr>
                <w:rFonts w:eastAsia="方正仿宋_GBK"/>
                <w:color w:val="000000"/>
                <w:spacing w:val="8"/>
                <w:shd w:val="clear" w:color="auto" w:fill="FFFFFF"/>
              </w:rPr>
            </w:pPr>
            <w:r>
              <w:rPr>
                <w:rFonts w:eastAsia="方正仿宋_GBK"/>
                <w:color w:val="000000"/>
                <w:spacing w:val="8"/>
                <w:shd w:val="clear" w:color="auto" w:fill="FFFFFF"/>
              </w:rPr>
              <w:t>1、研发团队整体科研水平及人员分工合理性；</w:t>
            </w:r>
          </w:p>
          <w:p>
            <w:pPr>
              <w:pStyle w:val="14"/>
              <w:widowControl/>
              <w:spacing w:line="360" w:lineRule="exact"/>
              <w:textAlignment w:val="baseline"/>
              <w:rPr>
                <w:rFonts w:eastAsia="方正仿宋_GBK"/>
                <w:color w:val="000000"/>
                <w:spacing w:val="8"/>
                <w:shd w:val="clear" w:color="auto" w:fill="FFFFFF"/>
              </w:rPr>
            </w:pPr>
            <w:r>
              <w:rPr>
                <w:rFonts w:eastAsia="方正仿宋_GBK"/>
                <w:color w:val="000000"/>
                <w:spacing w:val="8"/>
                <w:shd w:val="clear" w:color="auto" w:fill="FFFFFF"/>
              </w:rPr>
              <w:t>2、项目负责人的科研水平及创新能力；</w:t>
            </w:r>
          </w:p>
          <w:p>
            <w:pPr>
              <w:pStyle w:val="14"/>
              <w:widowControl/>
              <w:spacing w:line="360" w:lineRule="exact"/>
              <w:textAlignment w:val="baseline"/>
              <w:rPr>
                <w:rFonts w:eastAsia="方正仿宋_GBK"/>
                <w:color w:val="000000"/>
                <w:spacing w:val="8"/>
                <w:shd w:val="clear" w:color="auto" w:fill="FFFFFF"/>
              </w:rPr>
            </w:pPr>
            <w:r>
              <w:rPr>
                <w:rFonts w:eastAsia="方正仿宋_GBK"/>
                <w:color w:val="000000"/>
                <w:spacing w:val="8"/>
                <w:shd w:val="clear" w:color="auto" w:fill="FFFFFF"/>
              </w:rPr>
              <w:t>3、项目申报单位的组织管理能力和项目组织实施机制；</w:t>
            </w:r>
          </w:p>
          <w:p>
            <w:pPr>
              <w:pStyle w:val="14"/>
              <w:widowControl/>
              <w:spacing w:line="360" w:lineRule="exact"/>
              <w:textAlignment w:val="baseline"/>
              <w:rPr>
                <w:rFonts w:eastAsia="方正仿宋_GBK"/>
                <w:color w:val="000000"/>
                <w:spacing w:val="8"/>
                <w:shd w:val="clear" w:color="auto" w:fill="FFFFFF"/>
              </w:rPr>
            </w:pPr>
            <w:r>
              <w:rPr>
                <w:rFonts w:eastAsia="方正仿宋_GBK"/>
                <w:color w:val="000000"/>
                <w:spacing w:val="8"/>
                <w:shd w:val="clear" w:color="auto" w:fill="FFFFFF"/>
              </w:rPr>
              <w:t>4、现有研究工作基础及条件。</w:t>
            </w:r>
          </w:p>
        </w:tc>
        <w:tc>
          <w:tcPr>
            <w:tcW w:w="919" w:type="dxa"/>
            <w:noWrap w:val="0"/>
            <w:vAlign w:val="center"/>
          </w:tcPr>
          <w:p>
            <w:pPr>
              <w:pStyle w:val="14"/>
              <w:widowControl/>
              <w:spacing w:line="360" w:lineRule="exact"/>
              <w:textAlignment w:val="baseline"/>
              <w:rPr>
                <w:rFonts w:eastAsia="方正仿宋_GBK"/>
                <w:color w:val="000000"/>
                <w:spacing w:val="8"/>
                <w:shd w:val="clear" w:color="auto" w:fill="FFFFFF"/>
              </w:rPr>
            </w:pPr>
            <w:r>
              <w:rPr>
                <w:rFonts w:eastAsia="方正仿宋_GBK"/>
                <w:color w:val="000000"/>
                <w:spacing w:val="8"/>
                <w:shd w:val="clear" w:color="auto" w:fill="FFFFFF"/>
              </w:rPr>
              <w:t>20</w:t>
            </w:r>
          </w:p>
        </w:tc>
        <w:tc>
          <w:tcPr>
            <w:tcW w:w="1106" w:type="dxa"/>
            <w:noWrap w:val="0"/>
            <w:vAlign w:val="top"/>
          </w:tcPr>
          <w:p>
            <w:pPr>
              <w:pStyle w:val="14"/>
              <w:widowControl/>
              <w:spacing w:line="360" w:lineRule="exact"/>
              <w:textAlignment w:val="baseline"/>
              <w:rPr>
                <w:rFonts w:eastAsia="方正仿宋_GBK"/>
                <w:color w:val="000000"/>
                <w:spacing w:val="8"/>
                <w:shd w:val="clear" w:color="auto" w:fill="FFFFFF"/>
              </w:rPr>
            </w:pPr>
          </w:p>
        </w:tc>
        <w:tc>
          <w:tcPr>
            <w:tcW w:w="1860" w:type="dxa"/>
            <w:noWrap w:val="0"/>
            <w:vAlign w:val="top"/>
          </w:tcPr>
          <w:p>
            <w:pPr>
              <w:pStyle w:val="14"/>
              <w:widowControl/>
              <w:spacing w:line="360" w:lineRule="exact"/>
              <w:textAlignment w:val="baseline"/>
              <w:rPr>
                <w:rFonts w:eastAsia="方正仿宋_GBK"/>
                <w:color w:val="000000"/>
                <w:spacing w:val="8"/>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46" w:type="dxa"/>
            <w:noWrap w:val="0"/>
            <w:vAlign w:val="center"/>
          </w:tcPr>
          <w:p>
            <w:pPr>
              <w:pStyle w:val="14"/>
              <w:widowControl/>
              <w:spacing w:line="360" w:lineRule="exact"/>
              <w:textAlignment w:val="baseline"/>
              <w:rPr>
                <w:rFonts w:eastAsia="方正仿宋_GBK"/>
                <w:color w:val="000000"/>
                <w:spacing w:val="8"/>
                <w:shd w:val="clear" w:color="auto" w:fill="FFFFFF"/>
              </w:rPr>
            </w:pPr>
            <w:r>
              <w:rPr>
                <w:rFonts w:eastAsia="方正仿宋_GBK"/>
                <w:color w:val="000000"/>
                <w:spacing w:val="8"/>
                <w:shd w:val="clear" w:color="auto" w:fill="FFFFFF"/>
              </w:rPr>
              <w:t>五、预期成果及风险分析</w:t>
            </w:r>
          </w:p>
        </w:tc>
        <w:tc>
          <w:tcPr>
            <w:tcW w:w="3999" w:type="dxa"/>
            <w:noWrap w:val="0"/>
            <w:vAlign w:val="top"/>
          </w:tcPr>
          <w:p>
            <w:pPr>
              <w:pStyle w:val="14"/>
              <w:widowControl/>
              <w:spacing w:line="360" w:lineRule="exact"/>
              <w:textAlignment w:val="baseline"/>
              <w:rPr>
                <w:rFonts w:eastAsia="方正仿宋_GBK"/>
                <w:color w:val="000000"/>
                <w:spacing w:val="8"/>
                <w:shd w:val="clear" w:color="auto" w:fill="FFFFFF"/>
              </w:rPr>
            </w:pPr>
            <w:r>
              <w:rPr>
                <w:rFonts w:eastAsia="方正仿宋_GBK"/>
                <w:color w:val="000000"/>
                <w:spacing w:val="8"/>
                <w:shd w:val="clear" w:color="auto" w:fill="FFFFFF"/>
              </w:rPr>
              <w:t>1、项目预期成果是否明确，社会、经济效益如何；</w:t>
            </w:r>
          </w:p>
          <w:p>
            <w:pPr>
              <w:pStyle w:val="14"/>
              <w:widowControl/>
              <w:spacing w:line="360" w:lineRule="exact"/>
              <w:textAlignment w:val="baseline"/>
              <w:rPr>
                <w:rFonts w:eastAsia="方正仿宋_GBK"/>
                <w:color w:val="000000"/>
                <w:spacing w:val="8"/>
                <w:shd w:val="clear" w:color="auto" w:fill="FFFFFF"/>
              </w:rPr>
            </w:pPr>
            <w:r>
              <w:rPr>
                <w:rFonts w:eastAsia="方正仿宋_GBK"/>
                <w:color w:val="000000"/>
                <w:spacing w:val="8"/>
                <w:shd w:val="clear" w:color="auto" w:fill="FFFFFF"/>
              </w:rPr>
              <w:t>2、项目的技术和实施风险分析是否清晰，对策是否有效。</w:t>
            </w:r>
          </w:p>
        </w:tc>
        <w:tc>
          <w:tcPr>
            <w:tcW w:w="919" w:type="dxa"/>
            <w:noWrap w:val="0"/>
            <w:vAlign w:val="center"/>
          </w:tcPr>
          <w:p>
            <w:pPr>
              <w:pStyle w:val="14"/>
              <w:widowControl/>
              <w:spacing w:line="360" w:lineRule="exact"/>
              <w:textAlignment w:val="baseline"/>
              <w:rPr>
                <w:rFonts w:eastAsia="方正仿宋_GBK"/>
                <w:color w:val="000000"/>
                <w:spacing w:val="8"/>
                <w:shd w:val="clear" w:color="auto" w:fill="FFFFFF"/>
              </w:rPr>
            </w:pPr>
            <w:r>
              <w:rPr>
                <w:rFonts w:eastAsia="方正仿宋_GBK"/>
                <w:color w:val="000000"/>
                <w:spacing w:val="8"/>
                <w:shd w:val="clear" w:color="auto" w:fill="FFFFFF"/>
              </w:rPr>
              <w:t>10</w:t>
            </w:r>
          </w:p>
        </w:tc>
        <w:tc>
          <w:tcPr>
            <w:tcW w:w="1106" w:type="dxa"/>
            <w:noWrap w:val="0"/>
            <w:vAlign w:val="top"/>
          </w:tcPr>
          <w:p>
            <w:pPr>
              <w:pStyle w:val="14"/>
              <w:widowControl/>
              <w:spacing w:line="360" w:lineRule="exact"/>
              <w:textAlignment w:val="baseline"/>
              <w:rPr>
                <w:rFonts w:eastAsia="方正仿宋_GBK"/>
                <w:color w:val="000000"/>
                <w:spacing w:val="8"/>
                <w:shd w:val="clear" w:color="auto" w:fill="FFFFFF"/>
              </w:rPr>
            </w:pPr>
          </w:p>
        </w:tc>
        <w:tc>
          <w:tcPr>
            <w:tcW w:w="1860" w:type="dxa"/>
            <w:noWrap w:val="0"/>
            <w:vAlign w:val="top"/>
          </w:tcPr>
          <w:p>
            <w:pPr>
              <w:pStyle w:val="14"/>
              <w:widowControl/>
              <w:spacing w:line="360" w:lineRule="exact"/>
              <w:textAlignment w:val="baseline"/>
              <w:rPr>
                <w:rFonts w:eastAsia="方正仿宋_GBK"/>
                <w:color w:val="000000"/>
                <w:spacing w:val="8"/>
                <w:shd w:val="clear" w:color="auto" w:fill="FFFFFF"/>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845" w:type="dxa"/>
            <w:gridSpan w:val="2"/>
            <w:noWrap w:val="0"/>
            <w:vAlign w:val="center"/>
          </w:tcPr>
          <w:p>
            <w:pPr>
              <w:pStyle w:val="14"/>
              <w:widowControl/>
              <w:spacing w:line="360" w:lineRule="exact"/>
              <w:jc w:val="center"/>
              <w:textAlignment w:val="baseline"/>
              <w:rPr>
                <w:rFonts w:eastAsia="方正仿宋_GBK"/>
                <w:color w:val="000000"/>
                <w:spacing w:val="8"/>
                <w:shd w:val="clear" w:color="auto" w:fill="FFFFFF"/>
              </w:rPr>
            </w:pPr>
            <w:r>
              <w:rPr>
                <w:rFonts w:eastAsia="方正仿宋_GBK"/>
                <w:color w:val="000000"/>
                <w:spacing w:val="8"/>
                <w:shd w:val="clear" w:color="auto" w:fill="FFFFFF"/>
              </w:rPr>
              <w:t>总    分</w:t>
            </w:r>
          </w:p>
        </w:tc>
        <w:tc>
          <w:tcPr>
            <w:tcW w:w="919" w:type="dxa"/>
            <w:noWrap w:val="0"/>
            <w:vAlign w:val="top"/>
          </w:tcPr>
          <w:p>
            <w:pPr>
              <w:pStyle w:val="14"/>
              <w:widowControl/>
              <w:spacing w:line="360" w:lineRule="exact"/>
              <w:textAlignment w:val="baseline"/>
              <w:rPr>
                <w:rFonts w:eastAsia="方正仿宋_GBK"/>
                <w:color w:val="000000"/>
                <w:spacing w:val="8"/>
                <w:shd w:val="clear" w:color="auto" w:fill="FFFFFF"/>
              </w:rPr>
            </w:pPr>
          </w:p>
        </w:tc>
        <w:tc>
          <w:tcPr>
            <w:tcW w:w="1106" w:type="dxa"/>
            <w:noWrap w:val="0"/>
            <w:vAlign w:val="top"/>
          </w:tcPr>
          <w:p>
            <w:pPr>
              <w:pStyle w:val="14"/>
              <w:widowControl/>
              <w:spacing w:line="360" w:lineRule="exact"/>
              <w:textAlignment w:val="baseline"/>
              <w:rPr>
                <w:rFonts w:eastAsia="方正仿宋_GBK"/>
                <w:color w:val="000000"/>
                <w:spacing w:val="8"/>
                <w:shd w:val="clear" w:color="auto" w:fill="FFFFFF"/>
              </w:rPr>
            </w:pPr>
          </w:p>
        </w:tc>
        <w:tc>
          <w:tcPr>
            <w:tcW w:w="1860" w:type="dxa"/>
            <w:noWrap w:val="0"/>
            <w:vAlign w:val="top"/>
          </w:tcPr>
          <w:p>
            <w:pPr>
              <w:pStyle w:val="14"/>
              <w:widowControl/>
              <w:spacing w:line="360" w:lineRule="exact"/>
              <w:textAlignment w:val="baseline"/>
              <w:rPr>
                <w:rFonts w:eastAsia="方正仿宋_GBK"/>
                <w:color w:val="000000"/>
                <w:spacing w:val="8"/>
                <w:shd w:val="clear" w:color="auto" w:fill="FFFFFF"/>
              </w:rPr>
            </w:pPr>
          </w:p>
        </w:tc>
      </w:tr>
    </w:tbl>
    <w:p>
      <w:pPr>
        <w:spacing w:line="440" w:lineRule="exact"/>
        <w:ind w:firstLine="480" w:firstLineChars="200"/>
        <w:rPr>
          <w:rFonts w:hint="default" w:ascii="Times New Roman" w:hAnsi="Times New Roman" w:eastAsia="方正黑体_GBK" w:cs="Times New Roman"/>
          <w:color w:val="auto"/>
          <w:sz w:val="24"/>
          <w:szCs w:val="24"/>
        </w:rPr>
      </w:pPr>
      <w:r>
        <w:rPr>
          <w:rFonts w:eastAsia="方正仿宋_GBK"/>
          <w:sz w:val="24"/>
          <w:szCs w:val="24"/>
        </w:rPr>
        <w:t>备注：评审专家对于其建议立项的项目，评分应不低于75分且高于其</w:t>
      </w:r>
      <w:r>
        <w:rPr>
          <w:rFonts w:eastAsia="方正仿宋_GBK"/>
          <w:color w:val="000000"/>
          <w:spacing w:val="8"/>
          <w:kern w:val="0"/>
          <w:sz w:val="24"/>
          <w:szCs w:val="24"/>
          <w:shd w:val="clear" w:color="auto" w:fill="FFFFFF"/>
        </w:rPr>
        <w:t>建议</w:t>
      </w:r>
      <w:r>
        <w:rPr>
          <w:rFonts w:eastAsia="方正仿宋_GBK"/>
          <w:sz w:val="24"/>
          <w:szCs w:val="24"/>
        </w:rPr>
        <w:t>不立项的项目。</w:t>
      </w:r>
      <w:bookmarkStart w:id="25" w:name="_GoBack"/>
      <w:bookmarkEnd w:id="25"/>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7296" w:leftChars="2280" w:firstLine="6400" w:firstLineChars="2000"/>
      <w:rPr>
        <w:sz w:val="32"/>
      </w:rPr>
    </w:pPr>
    <w:r>
      <w:rPr>
        <w:sz w:val="32"/>
      </w:rPr>
      <mc:AlternateContent>
        <mc:Choice Requires="wps">
          <w:drawing>
            <wp:anchor distT="0" distB="0" distL="114300" distR="114300" simplePos="0" relativeHeight="251663360" behindDoc="0" locked="0" layoutInCell="1" allowOverlap="1">
              <wp:simplePos x="0" y="0"/>
              <wp:positionH relativeFrom="margin">
                <wp:align>right</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rBCXA3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BawQlwNwIAAHEEAAAOAAAAAAAAAAEAIAAAAB8BAABkcnMvZTJvRG9jLnht&#10;bFBLBQYAAAAABgAGAFkBAADIBQ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p>
    <w:pPr>
      <w:pStyle w:val="7"/>
      <w:ind w:left="7296" w:leftChars="2280" w:firstLine="6400" w:firstLineChars="2000"/>
      <w:rPr>
        <w:sz w:val="32"/>
      </w:rPr>
    </w:pPr>
    <w:r>
      <w:rPr>
        <w:color w:val="FAFAFA"/>
        <w:sz w:val="32"/>
      </w:rPr>
      <mc:AlternateContent>
        <mc:Choice Requires="wps">
          <w:drawing>
            <wp:anchor distT="0" distB="0" distL="114300" distR="114300" simplePos="0" relativeHeight="251662336" behindDoc="0" locked="0" layoutInCell="1" allowOverlap="1">
              <wp:simplePos x="0" y="0"/>
              <wp:positionH relativeFrom="column">
                <wp:posOffset>-55245</wp:posOffset>
              </wp:positionH>
              <wp:positionV relativeFrom="paragraph">
                <wp:posOffset>147320</wp:posOffset>
              </wp:positionV>
              <wp:extent cx="5748020" cy="32385"/>
              <wp:effectExtent l="0" t="10795" r="5080" b="13970"/>
              <wp:wrapNone/>
              <wp:docPr id="11" name="直接连接符 11"/>
              <wp:cNvGraphicFramePr/>
              <a:graphic xmlns:a="http://schemas.openxmlformats.org/drawingml/2006/main">
                <a:graphicData uri="http://schemas.microsoft.com/office/word/2010/wordprocessingShape">
                  <wps:wsp>
                    <wps:cNvCnPr/>
                    <wps:spPr>
                      <a:xfrm>
                        <a:off x="0" y="0"/>
                        <a:ext cx="5748020" cy="3238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4.35pt;margin-top:11.6pt;height:2.55pt;width:452.6pt;z-index:251662336;mso-width-relative:page;mso-height-relative:page;" filled="f" stroked="t" coordsize="21600,21600" o:gfxdata="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AElra/WAAAACAEAAA8AAAAAAAAAAQAgAAAAIgAAAGRycy9kb3ducmV2LnhtbFBLAQIUABQA&#10;AAAIAIdO4kC7/zAf8gEAAMYDAAAOAAAAAAAAAAEAIAAAACUBAABkcnMvZTJvRG9jLnhtbFBLBQYA&#10;AAAABgAGAFkBAACJBQAAAAA=&#10;">
              <v:fill on="f" focussize="0,0"/>
              <v:stroke weight="1.75pt" color="#005192" miterlimit="8" joinstyle="miter"/>
              <v:imagedata o:title=""/>
              <o:lock v:ext="edit" aspectratio="f"/>
            </v:line>
          </w:pict>
        </mc:Fallback>
      </mc:AlternateContent>
    </w:r>
  </w:p>
  <w:p>
    <w:pPr>
      <w:pStyle w:val="6"/>
      <w:wordWrap w:val="0"/>
      <w:jc w:val="right"/>
      <w:rPr>
        <w:rFonts w:hint="default"/>
        <w:lang w:val="en-US"/>
      </w:rPr>
    </w:pPr>
    <w:r>
      <w:rPr>
        <w:rFonts w:hint="eastAsia" w:ascii="宋体" w:hAnsi="宋体" w:eastAsia="宋体" w:cs="宋体"/>
        <w:b/>
        <w:bCs/>
        <w:color w:val="005192"/>
        <w:sz w:val="28"/>
        <w:szCs w:val="44"/>
        <w:lang w:val="en-US" w:eastAsia="zh-CN"/>
      </w:rPr>
      <w:t xml:space="preserve">重庆市大足区科技局发布  </w:t>
    </w:r>
  </w:p>
  <w:p>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80899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80899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63.7pt;mso-position-horizontal:outside;mso-position-horizontal-relative:margin;z-index:251659264;mso-width-relative:page;mso-height-relative:page;" filled="f" stroked="f" coordsize="21600,21600" o:gfxdata="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AGx05i1AAAAAUBAAAPAAAAAAAAAAEAIAAAACIAAABkcnMvZG93bnJldi54&#10;bWxQSwECFAAUAAAACACHTuJAfpGDijcCAABiBAAADgAAAAAAAAABACAAAAAjAQAAZHJzL2Uyb0Rv&#10;Yy54bWxQSwUGAAAAAAYABgBZAQAAzAU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ind w:left="7296" w:leftChars="2280" w:firstLine="6400" w:firstLineChars="2000"/>
      <w:rPr>
        <w:sz w:val="32"/>
      </w:rPr>
    </w:pPr>
    <w:r>
      <w:rPr>
        <w:color w:val="FAFAFA"/>
        <w:sz w:val="32"/>
      </w:rPr>
      <mc:AlternateContent>
        <mc:Choice Requires="wps">
          <w:drawing>
            <wp:anchor distT="0" distB="0" distL="114300" distR="114300" simplePos="0" relativeHeight="251666432" behindDoc="0" locked="0" layoutInCell="1" allowOverlap="1">
              <wp:simplePos x="0" y="0"/>
              <wp:positionH relativeFrom="column">
                <wp:posOffset>-55245</wp:posOffset>
              </wp:positionH>
              <wp:positionV relativeFrom="paragraph">
                <wp:posOffset>147320</wp:posOffset>
              </wp:positionV>
              <wp:extent cx="5748020" cy="32385"/>
              <wp:effectExtent l="0" t="10795" r="5080" b="13970"/>
              <wp:wrapNone/>
              <wp:docPr id="12" name="直接连接符 12"/>
              <wp:cNvGraphicFramePr/>
              <a:graphic xmlns:a="http://schemas.openxmlformats.org/drawingml/2006/main">
                <a:graphicData uri="http://schemas.microsoft.com/office/word/2010/wordprocessingShape">
                  <wps:wsp>
                    <wps:cNvCnPr/>
                    <wps:spPr>
                      <a:xfrm>
                        <a:off x="0" y="0"/>
                        <a:ext cx="5748020" cy="32385"/>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margin-left:-4.35pt;margin-top:11.6pt;height:2.55pt;width:452.6pt;z-index:251666432;mso-width-relative:page;mso-height-relative:page;" filled="f" stroked="t" coordsize="21600,21600" o:gfxdata="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ASWtr9YAAAAIAQAADwAAAAAAAAABACAAAAAiAAAAZHJzL2Rvd25yZXYueG1sUEsBAhQAFAAA&#10;AAgAh07iQPJEUgXxAQAAxgMAAA4AAAAAAAAAAQAgAAAAJQEAAGRycy9lMm9Eb2MueG1sUEsFBgAA&#10;AAAGAAYAWQEAAIgFAAAAAA==&#10;">
              <v:fill on="f" focussize="0,0"/>
              <v:stroke weight="1.75pt" color="#005192" miterlimit="8" joinstyle="miter"/>
              <v:imagedata o:title=""/>
              <o:lock v:ext="edit" aspectratio="f"/>
            </v:line>
          </w:pict>
        </mc:Fallback>
      </mc:AlternateContent>
    </w:r>
  </w:p>
  <w:p>
    <w:pPr>
      <w:pStyle w:val="6"/>
      <w:wordWrap w:val="0"/>
      <w:jc w:val="right"/>
      <w:rPr>
        <w:rFonts w:hint="default"/>
        <w:lang w:val="en-US"/>
      </w:rPr>
    </w:pPr>
    <w:r>
      <w:rPr>
        <w:rFonts w:hint="eastAsia" w:ascii="宋体" w:hAnsi="宋体" w:eastAsia="宋体" w:cs="宋体"/>
        <w:b/>
        <w:bCs/>
        <w:color w:val="005192"/>
        <w:sz w:val="28"/>
        <w:szCs w:val="44"/>
        <w:lang w:val="en-US" w:eastAsia="zh-CN"/>
      </w:rPr>
      <w:t xml:space="preserve">重庆市大足区科技局发布  </w:t>
    </w:r>
  </w:p>
  <w:p>
    <w:pPr>
      <w:pStyle w:val="6"/>
    </w:pPr>
    <w:r>
      <w:rPr>
        <w:sz w:val="18"/>
      </w:rPr>
      <mc:AlternateContent>
        <mc:Choice Requires="wps">
          <w:drawing>
            <wp:anchor distT="0" distB="0" distL="114300" distR="114300" simplePos="0" relativeHeight="251665408" behindDoc="0" locked="0" layoutInCell="1" allowOverlap="1">
              <wp:simplePos x="0" y="0"/>
              <wp:positionH relativeFrom="margin">
                <wp:posOffset>0</wp:posOffset>
              </wp:positionH>
              <wp:positionV relativeFrom="paragraph">
                <wp:posOffset>0</wp:posOffset>
              </wp:positionV>
              <wp:extent cx="80899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80899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ascii="宋体" w:hAnsi="宋体" w:eastAsia="宋体" w:cs="宋体"/>
                              <w:sz w:val="28"/>
                              <w:szCs w:val="28"/>
                            </w:rPr>
                          </w:pPr>
                        </w:p>
                      </w:txbxContent>
                    </wps:txbx>
                    <wps:bodyPr rot="0" spcFirstLastPara="0" vertOverflow="overflow" horzOverflow="overflow" vert="horz" wrap="squar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left:0pt;margin-top:0pt;height:144pt;width:63.7pt;mso-position-horizontal-relative:margin;z-index:251665408;mso-width-relative:page;mso-height-relative:page;" filled="f" stroked="f" coordsize="21600,21600" o:gfxdata="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BsdOYtQAAAAFAQAADwAAAAAAAAABACAAAAAiAAAAZHJzL2Rvd25yZXYu&#10;eG1sUEsBAhQAFAAAAAgAh07iQLRYnGo4AgAAZAQAAA4AAAAAAAAAAQAgAAAAIwEAAGRycy9lMm9E&#10;b2MueG1sUEsFBgAAAAAGAAYAWQEAAM0FAAAAAA==&#10;">
              <v:fill on="f" focussize="0,0"/>
              <v:stroke on="f" weight="0.5pt"/>
              <v:imagedata o:title=""/>
              <o:lock v:ext="edit" aspectratio="f"/>
              <v:textbox inset="0mm,0mm,0mm,0mm" style="mso-fit-shape-to-text:t;">
                <w:txbxContent>
                  <w:p>
                    <w:pPr>
                      <w:pStyle w:val="6"/>
                      <w:rPr>
                        <w:rFonts w:hint="eastAsia" w:ascii="宋体" w:hAnsi="宋体" w:eastAsia="宋体" w:cs="宋体"/>
                        <w:sz w:val="28"/>
                        <w:szCs w:val="28"/>
                      </w:rPr>
                    </w:pPr>
                  </w:p>
                </w:txbxContent>
              </v:textbox>
            </v:shape>
          </w:pict>
        </mc:Fallback>
      </mc:AlternateContent>
    </w:r>
  </w:p>
  <w:p>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ind w:firstLine="280" w:firstLineChars="1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6"/>
                      <w:ind w:firstLine="280" w:firstLineChars="100"/>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sz w:val="32"/>
      </w:rPr>
      <mc:AlternateContent>
        <mc:Choice Requires="wps">
          <w:drawing>
            <wp:anchor distT="0" distB="0" distL="114300" distR="114300" simplePos="0" relativeHeight="251661312" behindDoc="0" locked="0" layoutInCell="1" allowOverlap="1">
              <wp:simplePos x="0" y="0"/>
              <wp:positionH relativeFrom="column">
                <wp:posOffset>-36195</wp:posOffset>
              </wp:positionH>
              <wp:positionV relativeFrom="paragraph">
                <wp:posOffset>419100</wp:posOffset>
              </wp:positionV>
              <wp:extent cx="5709920" cy="10160"/>
              <wp:effectExtent l="0" t="0" r="0" b="0"/>
              <wp:wrapNone/>
              <wp:docPr id="5" name="直接连接符 5"/>
              <wp:cNvGraphicFramePr/>
              <a:graphic xmlns:a="http://schemas.openxmlformats.org/drawingml/2006/main">
                <a:graphicData uri="http://schemas.microsoft.com/office/word/2010/wordprocessingShape">
                  <wps:wsp>
                    <wps:cNvCnPr/>
                    <wps:spPr>
                      <a:xfrm flipV="1">
                        <a:off x="4133850" y="864870"/>
                        <a:ext cx="5709920" cy="1016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flip:y;margin-left:-2.85pt;margin-top:33pt;height:0.8pt;width:449.6pt;z-index:251661312;mso-width-relative:page;mso-height-relative:page;" filled="f" stroked="t" coordsize="21600,21600" o:gfxdata="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DX8cjXZAAAACAEAAA8AAAAAAAAAAQAgAAAAIgAAAGRy&#10;cy9kb3ducmV2LnhtbFBLAQIUABQAAAAIAIdO4kBLsOY6BAIAANkDAAAOAAAAAAAAAAEAIAAAACgB&#10;AABkcnMvZTJvRG9jLnhtbFBLBQYAAAAABgAGAFkBAACeBQAAAAA=&#10;">
              <v:fill on="f" focussize="0,0"/>
              <v:stroke weight="1.75pt" color="#005192"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7" name="图片 7"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eastAsia="宋体" w:cs="宋体"/>
        <w:b/>
        <w:bCs/>
        <w:color w:val="005192"/>
        <w:sz w:val="32"/>
        <w:lang w:val="en-US" w:eastAsia="zh-CN"/>
      </w:rPr>
      <w:t>重庆市大足区科技局行政</w:t>
    </w:r>
    <w:r>
      <w:rPr>
        <w:rFonts w:hint="eastAsia" w:ascii="宋体" w:hAnsi="宋体" w:eastAsia="宋体" w:cs="宋体"/>
        <w:b/>
        <w:bCs/>
        <w:color w:val="005192"/>
        <w:sz w:val="32"/>
        <w:szCs w:val="32"/>
        <w:lang w:val="en-US" w:eastAsia="zh-Hans"/>
      </w:rPr>
      <w:t>规范性文件</w:t>
    </w:r>
  </w:p>
  <w:p>
    <w:pPr>
      <w:pStyle w:val="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sz w:val="32"/>
      </w:rPr>
      <mc:AlternateContent>
        <mc:Choice Requires="wps">
          <w:drawing>
            <wp:anchor distT="0" distB="0" distL="114300" distR="114300" simplePos="0" relativeHeight="251664384" behindDoc="0" locked="0" layoutInCell="1" allowOverlap="1">
              <wp:simplePos x="0" y="0"/>
              <wp:positionH relativeFrom="column">
                <wp:posOffset>-36195</wp:posOffset>
              </wp:positionH>
              <wp:positionV relativeFrom="paragraph">
                <wp:posOffset>419100</wp:posOffset>
              </wp:positionV>
              <wp:extent cx="5709920" cy="10160"/>
              <wp:effectExtent l="0" t="0" r="0" b="0"/>
              <wp:wrapNone/>
              <wp:docPr id="8" name="直接连接符 8"/>
              <wp:cNvGraphicFramePr/>
              <a:graphic xmlns:a="http://schemas.openxmlformats.org/drawingml/2006/main">
                <a:graphicData uri="http://schemas.microsoft.com/office/word/2010/wordprocessingShape">
                  <wps:wsp>
                    <wps:cNvCnPr/>
                    <wps:spPr>
                      <a:xfrm flipV="1">
                        <a:off x="4133850" y="864870"/>
                        <a:ext cx="5709920" cy="10160"/>
                      </a:xfrm>
                      <a:prstGeom prst="line">
                        <a:avLst/>
                      </a:prstGeom>
                      <a:noFill/>
                      <a:ln w="22225" cap="flat" cmpd="sng" algn="ctr">
                        <a:solidFill>
                          <a:srgbClr val="005192"/>
                        </a:solidFill>
                        <a:prstDash val="solid"/>
                        <a:miter lim="800000"/>
                      </a:ln>
                      <a:effectLst/>
                    </wps:spPr>
                    <wps:bodyPr/>
                  </wps:wsp>
                </a:graphicData>
              </a:graphic>
            </wp:anchor>
          </w:drawing>
        </mc:Choice>
        <mc:Fallback>
          <w:pict>
            <v:line id="_x0000_s1026" o:spid="_x0000_s1026" o:spt="20" style="position:absolute;left:0pt;flip:y;margin-left:-2.85pt;margin-top:33pt;height:0.8pt;width:449.6pt;z-index:251664384;mso-width-relative:page;mso-height-relative:page;" filled="f" stroked="t" coordsize="21600,21600" o:gfxdata="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">
              <v:fill on="f" focussize="0,0"/>
              <v:stroke weight="1.75pt" color="#005192"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9" name="图片 9"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国徽1024"/>
                  <pic:cNvPicPr>
                    <a:picLocks noChangeAspect="1"/>
                  </pic:cNvPicPr>
                </pic:nvPicPr>
                <pic:blipFill>
                  <a:blip r:embed="rId1"/>
                  <a:stretch>
                    <a:fillRect/>
                  </a:stretch>
                </pic:blipFill>
                <pic:spPr>
                  <a:xfrm>
                    <a:off x="0" y="0"/>
                    <a:ext cx="308610" cy="308610"/>
                  </a:xfrm>
                  <a:prstGeom prst="rect">
                    <a:avLst/>
                  </a:prstGeom>
                  <a:noFill/>
                  <a:ln>
                    <a:noFill/>
                  </a:ln>
                </pic:spPr>
              </pic:pic>
            </a:graphicData>
          </a:graphic>
        </wp:inline>
      </w:drawing>
    </w:r>
    <w:r>
      <w:rPr>
        <w:rFonts w:hint="eastAsia" w:ascii="宋体" w:hAnsi="宋体" w:eastAsia="宋体" w:cs="宋体"/>
        <w:b/>
        <w:bCs/>
        <w:color w:val="005192"/>
        <w:sz w:val="32"/>
        <w:lang w:val="en-US" w:eastAsia="zh-CN"/>
      </w:rPr>
      <w:t>重庆市大足区科技局行政</w:t>
    </w:r>
    <w:r>
      <w:rPr>
        <w:rFonts w:hint="eastAsia" w:ascii="宋体" w:hAnsi="宋体" w:eastAsia="宋体" w:cs="宋体"/>
        <w:b/>
        <w:bCs/>
        <w:color w:val="005192"/>
        <w:sz w:val="32"/>
        <w:szCs w:val="32"/>
        <w:lang w:val="en-US" w:eastAsia="zh-Hans"/>
      </w:rPr>
      <w:t>规范性文件</w:t>
    </w:r>
  </w:p>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evenAndOddHeaders w:val="1"/>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YyYzI2NmMxMjRmMzFlM2U0NTUzNzVmMjgxMjZiZTEifQ=="/>
  </w:docVars>
  <w:rsids>
    <w:rsidRoot w:val="67054369"/>
    <w:rsid w:val="04296640"/>
    <w:rsid w:val="090E4D30"/>
    <w:rsid w:val="0DE54CF8"/>
    <w:rsid w:val="168B0AE8"/>
    <w:rsid w:val="16D22374"/>
    <w:rsid w:val="17B658A4"/>
    <w:rsid w:val="1803087D"/>
    <w:rsid w:val="194416FB"/>
    <w:rsid w:val="1D1674DF"/>
    <w:rsid w:val="24531962"/>
    <w:rsid w:val="2605217A"/>
    <w:rsid w:val="26ED19BE"/>
    <w:rsid w:val="2E08504D"/>
    <w:rsid w:val="306476AD"/>
    <w:rsid w:val="313C59EB"/>
    <w:rsid w:val="31AB34CD"/>
    <w:rsid w:val="32D711FD"/>
    <w:rsid w:val="364155DE"/>
    <w:rsid w:val="38D032C0"/>
    <w:rsid w:val="3D032090"/>
    <w:rsid w:val="3E2078E0"/>
    <w:rsid w:val="3E3A70A1"/>
    <w:rsid w:val="3EB975D1"/>
    <w:rsid w:val="403F6435"/>
    <w:rsid w:val="41F10D6B"/>
    <w:rsid w:val="426E2A5E"/>
    <w:rsid w:val="42870A90"/>
    <w:rsid w:val="44AA10CB"/>
    <w:rsid w:val="4B0E1D4E"/>
    <w:rsid w:val="4B7A460D"/>
    <w:rsid w:val="52AC118D"/>
    <w:rsid w:val="54265DD0"/>
    <w:rsid w:val="55F80431"/>
    <w:rsid w:val="5D865ECE"/>
    <w:rsid w:val="67054369"/>
    <w:rsid w:val="685F2609"/>
    <w:rsid w:val="687C4F6F"/>
    <w:rsid w:val="6D3F4409"/>
    <w:rsid w:val="6E2A01F8"/>
    <w:rsid w:val="736112FB"/>
    <w:rsid w:val="79071691"/>
    <w:rsid w:val="7A5945EA"/>
    <w:rsid w:val="7DC65846"/>
    <w:rsid w:val="7F71178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方正仿宋_GBK" w:cs="Times New Roman"/>
      <w:kern w:val="2"/>
      <w:sz w:val="32"/>
      <w:szCs w:val="22"/>
      <w:lang w:val="en-US" w:eastAsia="zh-CN" w:bidi="ar-SA"/>
    </w:rPr>
  </w:style>
  <w:style w:type="paragraph" w:styleId="2">
    <w:name w:val="heading 3"/>
    <w:basedOn w:val="1"/>
    <w:next w:val="1"/>
    <w:qFormat/>
    <w:uiPriority w:val="0"/>
    <w:pPr>
      <w:spacing w:before="100" w:beforeLines="0" w:beforeAutospacing="1" w:after="100" w:afterLines="0" w:afterAutospacing="1"/>
      <w:jc w:val="left"/>
      <w:outlineLvl w:val="2"/>
    </w:pPr>
    <w:rPr>
      <w:rFonts w:hint="eastAsia" w:ascii="宋体" w:hAnsi="宋体" w:eastAsia="宋体" w:cs="宋体"/>
      <w:b/>
      <w:kern w:val="0"/>
      <w:sz w:val="27"/>
      <w:szCs w:val="27"/>
      <w:lang w:val="en-US" w:eastAsia="zh-CN" w:bidi="ar"/>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3">
    <w:name w:val="Body Text"/>
    <w:basedOn w:val="1"/>
    <w:next w:val="4"/>
    <w:qFormat/>
    <w:uiPriority w:val="1"/>
    <w:rPr>
      <w:sz w:val="24"/>
      <w:szCs w:val="24"/>
    </w:rPr>
  </w:style>
  <w:style w:type="paragraph" w:styleId="4">
    <w:name w:val="Body Text Indent"/>
    <w:basedOn w:val="1"/>
    <w:unhideWhenUsed/>
    <w:qFormat/>
    <w:uiPriority w:val="99"/>
    <w:pPr>
      <w:spacing w:line="560" w:lineRule="exact"/>
      <w:ind w:firstLine="645"/>
    </w:pPr>
    <w:rPr>
      <w:rFonts w:ascii="仿宋_GB2312" w:eastAsia="仿宋_GB2312"/>
      <w:color w:val="000000"/>
      <w:szCs w:val="32"/>
    </w:rPr>
  </w:style>
  <w:style w:type="paragraph" w:styleId="5">
    <w:name w:val="Plain Text"/>
    <w:basedOn w:val="1"/>
    <w:qFormat/>
    <w:uiPriority w:val="0"/>
    <w:rPr>
      <w:rFonts w:ascii="宋体" w:hAnsi="Courier New" w:cs="Courier New"/>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10">
    <w:name w:val="page number"/>
    <w:qFormat/>
    <w:uiPriority w:val="0"/>
  </w:style>
  <w:style w:type="paragraph" w:customStyle="1" w:styleId="11">
    <w:name w:val="Plain Text"/>
    <w:basedOn w:val="1"/>
    <w:qFormat/>
    <w:uiPriority w:val="0"/>
    <w:rPr>
      <w:rFonts w:ascii="宋体" w:hAnsi="Courier New" w:cs="Courier New"/>
      <w:szCs w:val="21"/>
    </w:rPr>
  </w:style>
  <w:style w:type="paragraph" w:customStyle="1" w:styleId="12">
    <w:name w:val="Normal (Web)"/>
    <w:basedOn w:val="1"/>
    <w:qFormat/>
    <w:uiPriority w:val="0"/>
    <w:pPr>
      <w:jc w:val="left"/>
    </w:pPr>
    <w:rPr>
      <w:kern w:val="0"/>
      <w:sz w:val="24"/>
      <w:szCs w:val="24"/>
    </w:rPr>
  </w:style>
  <w:style w:type="paragraph" w:customStyle="1" w:styleId="13">
    <w:name w:val="纯文本1"/>
    <w:basedOn w:val="1"/>
    <w:qFormat/>
    <w:uiPriority w:val="0"/>
    <w:rPr>
      <w:rFonts w:ascii="宋体" w:hAnsi="Courier New" w:cs="Courier New"/>
      <w:szCs w:val="21"/>
    </w:rPr>
  </w:style>
  <w:style w:type="paragraph" w:customStyle="1" w:styleId="14">
    <w:name w:val="普通(网站)1"/>
    <w:basedOn w:val="1"/>
    <w:qFormat/>
    <w:uiPriority w:val="0"/>
    <w:pPr>
      <w:jc w:val="left"/>
    </w:pPr>
    <w:rPr>
      <w:kern w:val="0"/>
      <w:sz w:val="24"/>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7207</Words>
  <Characters>7227</Characters>
  <Lines>0</Lines>
  <Paragraphs>0</Paragraphs>
  <TotalTime>1</TotalTime>
  <ScaleCrop>false</ScaleCrop>
  <LinksUpToDate>false</LinksUpToDate>
  <CharactersWithSpaces>7420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2022-05-11T02:03:00Z</dcterms:created>
  <dc:creator>andy</dc:creator>
  <cp:lastModifiedBy>黄春龙</cp:lastModifiedBy>
  <cp:lastPrinted>2022-08-16T02:22:00Z</cp:lastPrinted>
  <dcterms:modified xsi:type="dcterms:W3CDTF">2023-11-21T08:15:48Z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F98539BBFC3C423294E3E316017DA657</vt:lpwstr>
  </property>
</Properties>
</file>