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91AEF6">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62D1CB6D">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center"/>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6B66296D">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en-US" w:eastAsia="zh-CN"/>
        </w:rPr>
      </w:pPr>
      <w:r>
        <w:rPr>
          <w:rFonts w:hint="default" w:ascii="Times New Roman" w:hAnsi="Times New Roman" w:eastAsia="方正小标宋_GBK" w:cs="Times New Roman"/>
          <w:sz w:val="44"/>
          <w:szCs w:val="24"/>
          <w:lang w:val="en-US" w:eastAsia="zh-CN"/>
        </w:rPr>
        <w:t>重庆市大足区人民政府</w:t>
      </w:r>
    </w:p>
    <w:p w14:paraId="196191B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en-US" w:eastAsia="zh-CN"/>
        </w:rPr>
      </w:pPr>
      <w:r>
        <w:rPr>
          <w:rFonts w:hint="default" w:ascii="Times New Roman" w:hAnsi="Times New Roman" w:eastAsia="方正小标宋_GBK" w:cs="Times New Roman"/>
          <w:sz w:val="44"/>
          <w:szCs w:val="24"/>
          <w:lang w:val="en-US" w:eastAsia="zh-CN"/>
        </w:rPr>
        <w:t>关于印发大足区</w:t>
      </w:r>
      <w:r>
        <w:rPr>
          <w:rFonts w:hint="eastAsia" w:ascii="Times New Roman" w:hAnsi="Times New Roman" w:eastAsia="方正小标宋_GBK" w:cs="Times New Roman"/>
          <w:sz w:val="44"/>
          <w:szCs w:val="24"/>
          <w:lang w:val="en-US" w:eastAsia="zh-CN"/>
        </w:rPr>
        <w:t>“</w:t>
      </w:r>
      <w:r>
        <w:rPr>
          <w:rFonts w:hint="default" w:ascii="Times New Roman" w:hAnsi="Times New Roman" w:eastAsia="方正小标宋_GBK" w:cs="Times New Roman"/>
          <w:sz w:val="44"/>
          <w:szCs w:val="24"/>
          <w:lang w:val="en-US" w:eastAsia="zh-CN"/>
        </w:rPr>
        <w:t>三线一单</w:t>
      </w:r>
      <w:r>
        <w:rPr>
          <w:rFonts w:hint="eastAsia" w:ascii="Times New Roman" w:hAnsi="Times New Roman" w:eastAsia="方正小标宋_GBK" w:cs="Times New Roman"/>
          <w:sz w:val="44"/>
          <w:szCs w:val="24"/>
          <w:lang w:val="en-US" w:eastAsia="zh-CN"/>
        </w:rPr>
        <w:t>”</w:t>
      </w:r>
      <w:r>
        <w:rPr>
          <w:rFonts w:hint="default" w:ascii="Times New Roman" w:hAnsi="Times New Roman" w:eastAsia="方正小标宋_GBK" w:cs="Times New Roman"/>
          <w:sz w:val="44"/>
          <w:szCs w:val="24"/>
          <w:lang w:val="en-US" w:eastAsia="zh-CN"/>
        </w:rPr>
        <w:t>生态环境分区</w:t>
      </w:r>
    </w:p>
    <w:p w14:paraId="51C055AA">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en-US" w:eastAsia="zh-CN"/>
        </w:rPr>
      </w:pPr>
      <w:r>
        <w:rPr>
          <w:rFonts w:hint="default" w:ascii="Times New Roman" w:hAnsi="Times New Roman" w:eastAsia="方正小标宋_GBK" w:cs="Times New Roman"/>
          <w:sz w:val="44"/>
          <w:szCs w:val="24"/>
          <w:lang w:val="en-US" w:eastAsia="zh-CN"/>
        </w:rPr>
        <w:t>管控调整方案（2023年）的通知</w:t>
      </w:r>
    </w:p>
    <w:p w14:paraId="5959D71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大足府发〔202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9号</w:t>
      </w:r>
    </w:p>
    <w:p w14:paraId="06A0CD8F">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default" w:ascii="Times New Roman" w:hAnsi="Times New Roman" w:cs="Times New Roman"/>
        </w:rPr>
      </w:pPr>
    </w:p>
    <w:p w14:paraId="60D979BA">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各镇街人民政府（办事处），区政府有关部门，有关单位</w:t>
      </w:r>
      <w:r>
        <w:rPr>
          <w:rFonts w:hint="default" w:ascii="Times New Roman" w:hAnsi="Times New Roman" w:eastAsia="方正仿宋_GBK" w:cs="Times New Roman"/>
          <w:sz w:val="32"/>
          <w:szCs w:val="32"/>
        </w:rPr>
        <w:t>：</w:t>
      </w:r>
    </w:p>
    <w:p w14:paraId="69242C2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《大足区</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三线一单</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生态环境分区管控调整方案（2023年）》已经区政府同意，现印发给你们，请认真贯彻落实。</w:t>
      </w:r>
    </w:p>
    <w:p w14:paraId="423E458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14:paraId="7C9D8E4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14:paraId="27C1DD35">
      <w:pPr>
        <w:pStyle w:val="3"/>
        <w:rPr>
          <w:rFonts w:hint="default" w:ascii="Times New Roman" w:hAnsi="Times New Roman" w:cs="Times New Roman"/>
        </w:rPr>
      </w:pPr>
    </w:p>
    <w:p w14:paraId="6AFADA61">
      <w:pPr>
        <w:keepNext w:val="0"/>
        <w:keepLines w:val="0"/>
        <w:pageBreakBefore w:val="0"/>
        <w:widowControl w:val="0"/>
        <w:kinsoku/>
        <w:wordWrap/>
        <w:overflowPunct/>
        <w:topLinePunct w:val="0"/>
        <w:autoSpaceDE/>
        <w:autoSpaceDN/>
        <w:bidi w:val="0"/>
        <w:adjustRightInd/>
        <w:snapToGrid/>
        <w:spacing w:line="600" w:lineRule="exact"/>
        <w:ind w:left="0" w:leftChars="0" w:firstLine="4982" w:firstLineChars="1557"/>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大足</w:t>
      </w:r>
      <w:r>
        <w:rPr>
          <w:rFonts w:hint="default" w:ascii="Times New Roman" w:hAnsi="Times New Roman" w:eastAsia="方正仿宋_GBK" w:cs="Times New Roman"/>
          <w:sz w:val="32"/>
          <w:szCs w:val="32"/>
        </w:rPr>
        <w:t>区人民政府</w:t>
      </w:r>
    </w:p>
    <w:p w14:paraId="4B191F3A">
      <w:pPr>
        <w:keepNext w:val="0"/>
        <w:keepLines w:val="0"/>
        <w:pageBreakBefore w:val="0"/>
        <w:widowControl w:val="0"/>
        <w:kinsoku/>
        <w:wordWrap/>
        <w:overflowPunct/>
        <w:topLinePunct w:val="0"/>
        <w:autoSpaceDE/>
        <w:autoSpaceDN/>
        <w:bidi w:val="0"/>
        <w:adjustRightInd/>
        <w:snapToGrid/>
        <w:spacing w:line="600" w:lineRule="exact"/>
        <w:ind w:firstLine="5440" w:firstLineChars="17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2024年7月25日</w:t>
      </w:r>
    </w:p>
    <w:p w14:paraId="2B8A503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（此件公开发布）</w:t>
      </w:r>
    </w:p>
    <w:p w14:paraId="156799D2">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571D417D">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571CF04F">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4C6BCBC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154B093B">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73B9B397">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小标宋_GBK" w:cs="Times New Roman"/>
          <w:kern w:val="2"/>
          <w:sz w:val="44"/>
          <w:szCs w:val="44"/>
          <w:lang w:val="en-US" w:eastAsia="zh-CN" w:bidi="ar-SA"/>
        </w:rPr>
      </w:pPr>
    </w:p>
    <w:p w14:paraId="234AC67B">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24"/>
          <w:lang w:val="en-US" w:eastAsia="zh-CN"/>
        </w:rPr>
      </w:pPr>
      <w:r>
        <w:rPr>
          <w:rFonts w:hint="default" w:ascii="Times New Roman" w:hAnsi="Times New Roman" w:eastAsia="方正小标宋_GBK" w:cs="Times New Roman"/>
          <w:sz w:val="44"/>
          <w:szCs w:val="24"/>
          <w:lang w:val="en-US" w:eastAsia="zh-CN"/>
        </w:rPr>
        <w:t>大足区</w:t>
      </w:r>
      <w:r>
        <w:rPr>
          <w:rFonts w:hint="eastAsia" w:ascii="Times New Roman" w:hAnsi="Times New Roman" w:eastAsia="方正小标宋_GBK" w:cs="Times New Roman"/>
          <w:sz w:val="44"/>
          <w:szCs w:val="24"/>
          <w:lang w:val="en-US" w:eastAsia="zh-CN"/>
        </w:rPr>
        <w:t>“</w:t>
      </w:r>
      <w:r>
        <w:rPr>
          <w:rFonts w:hint="default" w:ascii="Times New Roman" w:hAnsi="Times New Roman" w:eastAsia="方正小标宋_GBK" w:cs="Times New Roman"/>
          <w:sz w:val="44"/>
          <w:szCs w:val="24"/>
          <w:lang w:val="en-US" w:eastAsia="zh-CN"/>
        </w:rPr>
        <w:t>三线一单</w:t>
      </w:r>
      <w:r>
        <w:rPr>
          <w:rFonts w:hint="eastAsia" w:ascii="Times New Roman" w:hAnsi="Times New Roman" w:eastAsia="方正小标宋_GBK" w:cs="Times New Roman"/>
          <w:sz w:val="44"/>
          <w:szCs w:val="24"/>
          <w:lang w:val="en-US" w:eastAsia="zh-CN"/>
        </w:rPr>
        <w:t>”</w:t>
      </w:r>
      <w:r>
        <w:rPr>
          <w:rFonts w:hint="default" w:ascii="Times New Roman" w:hAnsi="Times New Roman" w:eastAsia="方正小标宋_GBK" w:cs="Times New Roman"/>
          <w:sz w:val="44"/>
          <w:szCs w:val="24"/>
          <w:lang w:val="en-US" w:eastAsia="zh-CN"/>
        </w:rPr>
        <w:t>生态环境分区管控</w:t>
      </w:r>
    </w:p>
    <w:p w14:paraId="102AED78">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kern w:val="2"/>
          <w:sz w:val="44"/>
          <w:szCs w:val="44"/>
          <w:lang w:val="en-US" w:eastAsia="zh-CN" w:bidi="ar-SA"/>
        </w:rPr>
      </w:pPr>
      <w:r>
        <w:rPr>
          <w:rFonts w:hint="default" w:ascii="Times New Roman" w:hAnsi="Times New Roman" w:eastAsia="方正小标宋_GBK" w:cs="Times New Roman"/>
          <w:sz w:val="44"/>
          <w:szCs w:val="24"/>
          <w:lang w:val="en-US" w:eastAsia="zh-CN"/>
        </w:rPr>
        <w:t>调整方案（2023年）</w:t>
      </w:r>
    </w:p>
    <w:p w14:paraId="0D6A63BB">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26BDE98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val="en-US" w:eastAsia="zh-CN"/>
        </w:rPr>
      </w:pPr>
      <w:r>
        <w:rPr>
          <w:rFonts w:hint="default" w:ascii="Times New Roman" w:hAnsi="Times New Roman" w:eastAsia="方正仿宋_GBK" w:cs="Times New Roman"/>
          <w:i w:val="0"/>
          <w:iCs w:val="0"/>
          <w:caps w:val="0"/>
          <w:color w:val="000000"/>
          <w:spacing w:val="0"/>
          <w:sz w:val="32"/>
          <w:szCs w:val="32"/>
          <w:shd w:val="clear" w:fill="FFFFFF"/>
        </w:rPr>
        <w:t>实施</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（生态保护红线、环境质量底线、资源利用上线和生态环境准入清单）生态环境分区管控制度，是新时代贯彻落实习近平生态文明思想、深入打好污染防治攻坚战、加强生态环境源头防控的重要举措。为落实</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十四五</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相关规划要求，衔接最新</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三区三线</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成果，按照重庆市统一部署，系统调整我区</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生态环境分区管控成果，提升成果时效性和针对性，形成与我区高质量发展和高水平保护相适应的</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生态环境分区管控体系</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lang w:val="en-US" w:eastAsia="zh-CN"/>
        </w:rPr>
        <w:t>特制定如下方案。</w:t>
      </w:r>
    </w:p>
    <w:p w14:paraId="11F1EA84">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r>
        <w:rPr>
          <w:rFonts w:hint="eastAsia" w:ascii="方正黑体_GBK" w:hAnsi="方正黑体_GBK" w:eastAsia="方正黑体_GBK" w:cs="方正黑体_GBK"/>
          <w:i w:val="0"/>
          <w:iCs w:val="0"/>
          <w:caps w:val="0"/>
          <w:color w:val="000000"/>
          <w:spacing w:val="0"/>
          <w:sz w:val="32"/>
          <w:szCs w:val="32"/>
          <w:shd w:val="clear" w:fill="FFFFFF"/>
        </w:rPr>
        <w:t>一、调整原则</w:t>
      </w:r>
    </w:p>
    <w:p w14:paraId="1E5EB2AE">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（一）坚持底线约束。</w:t>
      </w:r>
      <w:r>
        <w:rPr>
          <w:rFonts w:hint="default" w:ascii="Times New Roman" w:hAnsi="Times New Roman" w:eastAsia="方正仿宋_GBK" w:cs="Times New Roman"/>
          <w:i w:val="0"/>
          <w:iCs w:val="0"/>
          <w:caps w:val="0"/>
          <w:color w:val="000000"/>
          <w:spacing w:val="0"/>
          <w:sz w:val="32"/>
          <w:szCs w:val="32"/>
          <w:shd w:val="clear" w:fill="FFFFFF"/>
        </w:rPr>
        <w:t>坚持以生态功能不降低、环境质量不下降、资源环境承载能力不突破为底线，落实生态环境分区管控硬约束，</w:t>
      </w:r>
      <w:r>
        <w:rPr>
          <w:rFonts w:hint="default" w:ascii="Times New Roman" w:hAnsi="Times New Roman" w:eastAsia="方正仿宋_GBK" w:cs="Times New Roman"/>
          <w:i w:val="0"/>
          <w:iCs w:val="0"/>
          <w:caps w:val="0"/>
          <w:color w:val="000000"/>
          <w:spacing w:val="0"/>
          <w:sz w:val="32"/>
          <w:szCs w:val="32"/>
          <w:shd w:val="clear" w:fill="FFFFFF"/>
          <w:lang w:val="en-US" w:eastAsia="zh-CN"/>
        </w:rPr>
        <w:t>严</w:t>
      </w:r>
      <w:r>
        <w:rPr>
          <w:rFonts w:hint="default" w:ascii="Times New Roman" w:hAnsi="Times New Roman" w:eastAsia="方正仿宋_GBK" w:cs="Times New Roman"/>
          <w:i w:val="0"/>
          <w:iCs w:val="0"/>
          <w:caps w:val="0"/>
          <w:color w:val="000000"/>
          <w:spacing w:val="0"/>
          <w:sz w:val="32"/>
          <w:szCs w:val="32"/>
          <w:shd w:val="clear" w:fill="FFFFFF"/>
        </w:rPr>
        <w:t>禁降低要求、弱化管控的调整。</w:t>
      </w:r>
    </w:p>
    <w:p w14:paraId="1399DB84">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方正楷体_GBK" w:hAnsi="方正楷体_GBK" w:eastAsia="方正楷体_GBK" w:cs="方正楷体_GBK"/>
          <w:i w:val="0"/>
          <w:iCs w:val="0"/>
          <w:caps w:val="0"/>
          <w:color w:val="000000"/>
          <w:spacing w:val="0"/>
          <w:sz w:val="32"/>
          <w:szCs w:val="32"/>
          <w:shd w:val="clear" w:fill="FFFFFF"/>
        </w:rPr>
        <w:t>（二）强化空间管控。</w:t>
      </w:r>
      <w:r>
        <w:rPr>
          <w:rFonts w:hint="default" w:ascii="Times New Roman" w:hAnsi="Times New Roman" w:eastAsia="方正仿宋_GBK" w:cs="Times New Roman"/>
          <w:i w:val="0"/>
          <w:iCs w:val="0"/>
          <w:caps w:val="0"/>
          <w:color w:val="000000"/>
          <w:spacing w:val="0"/>
          <w:sz w:val="32"/>
          <w:szCs w:val="32"/>
          <w:shd w:val="clear" w:fill="FFFFFF"/>
        </w:rPr>
        <w:t>结合</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十四五</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lang w:val="en-US" w:eastAsia="zh-CN"/>
        </w:rPr>
        <w:t>生态</w:t>
      </w:r>
      <w:r>
        <w:rPr>
          <w:rFonts w:hint="default" w:ascii="Times New Roman" w:hAnsi="Times New Roman" w:eastAsia="方正仿宋_GBK" w:cs="Times New Roman"/>
          <w:i w:val="0"/>
          <w:iCs w:val="0"/>
          <w:caps w:val="0"/>
          <w:color w:val="000000"/>
          <w:spacing w:val="0"/>
          <w:sz w:val="32"/>
          <w:szCs w:val="32"/>
          <w:shd w:val="clear" w:fill="FFFFFF"/>
        </w:rPr>
        <w:t>环境管理目标和国土空间规划成果，优化调整生态保护红线及一般生态空间、环境质量底线、资源利用上线的生态环境管控要求，完善以环境管控单元为基础的空间管控体系。</w:t>
      </w:r>
    </w:p>
    <w:p w14:paraId="31EC700B">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方正楷体_GBK" w:hAnsi="方正楷体_GBK" w:eastAsia="方正楷体_GBK" w:cs="方正楷体_GBK"/>
          <w:i w:val="0"/>
          <w:iCs w:val="0"/>
          <w:caps w:val="0"/>
          <w:color w:val="000000"/>
          <w:spacing w:val="0"/>
          <w:sz w:val="32"/>
          <w:szCs w:val="32"/>
          <w:shd w:val="clear" w:fill="FFFFFF"/>
        </w:rPr>
        <w:t>（三）突出分类准入。</w:t>
      </w:r>
      <w:r>
        <w:rPr>
          <w:rFonts w:hint="default" w:ascii="Times New Roman" w:hAnsi="Times New Roman" w:eastAsia="方正仿宋_GBK" w:cs="Times New Roman"/>
          <w:i w:val="0"/>
          <w:iCs w:val="0"/>
          <w:caps w:val="0"/>
          <w:color w:val="000000"/>
          <w:spacing w:val="0"/>
          <w:sz w:val="32"/>
          <w:szCs w:val="32"/>
          <w:shd w:val="clear" w:fill="FFFFFF"/>
        </w:rPr>
        <w:t>以调整后的环境管控单元为单位，从空间布局约束、污染物排放管控、环境风险防控、资源利用效率等维度，优化调整生态环境准入清单，强化刚性约束，突出生态环境准入清单的针对性、有效性、实用性和可操作性。</w:t>
      </w:r>
    </w:p>
    <w:p w14:paraId="621054F7">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r>
        <w:rPr>
          <w:rFonts w:hint="eastAsia" w:ascii="方正黑体_GBK" w:hAnsi="方正黑体_GBK" w:eastAsia="方正黑体_GBK" w:cs="方正黑体_GBK"/>
          <w:i w:val="0"/>
          <w:iCs w:val="0"/>
          <w:caps w:val="0"/>
          <w:color w:val="000000"/>
          <w:spacing w:val="0"/>
          <w:sz w:val="32"/>
          <w:szCs w:val="32"/>
          <w:shd w:val="clear" w:fill="FFFFFF"/>
        </w:rPr>
        <w:t>二、总体目标</w:t>
      </w:r>
    </w:p>
    <w:p w14:paraId="7740FD2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到2025年，全区产业结构调整深入推进，绿色低碳发展和生活水平显著提升，大气、水等环境质量持续改善，土壤污染风险得到有效管控，农村生态环境明显改善，主要污染物排放总量持续减少，生态系统质量和稳定性进一步提升，生态环境治理体系和治理能力现代化水平明显提升，美丽大足建设取得明显成效。</w:t>
      </w:r>
    </w:p>
    <w:p w14:paraId="4D50ED5C">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到2035年，广泛形成绿色生产生活方式，节约资源和保护生态环境的空间格局、产业结构、生产方式、生活方式总体形成，碳排放达峰后稳中有降，生态环境根本改善，山水与人文共生共荣、融合发展的生态之美全面展现，美丽大足全面建成，与全市建成山清水秀美丽之地的目标要求相适应。</w:t>
      </w:r>
    </w:p>
    <w:p w14:paraId="3D9F9CBB">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r>
        <w:rPr>
          <w:rFonts w:hint="eastAsia" w:ascii="方正黑体_GBK" w:hAnsi="方正黑体_GBK" w:eastAsia="方正黑体_GBK" w:cs="方正黑体_GBK"/>
          <w:i w:val="0"/>
          <w:iCs w:val="0"/>
          <w:caps w:val="0"/>
          <w:color w:val="000000"/>
          <w:spacing w:val="0"/>
          <w:sz w:val="32"/>
          <w:szCs w:val="32"/>
          <w:shd w:val="clear" w:fill="FFFFFF"/>
        </w:rPr>
        <w:t>三、调整要求</w:t>
      </w:r>
    </w:p>
    <w:p w14:paraId="131FC9EE">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楷体_GBK" w:hAnsi="方正楷体_GBK" w:eastAsia="方正楷体_GBK" w:cs="方正楷体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（一）环境管控单元调整要求。</w:t>
      </w:r>
    </w:p>
    <w:p w14:paraId="312B06CC">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以系统化集成为基础，基于生态保护红线与一般生态空间、水环境管控分区、大气环境管控分区、土壤环境风险管控分区、资源管控分区等调整结果，科学调整优先、重点、一般三类环境管控单元，分区分类实施精细化管控，将原重点管控单元进一步细分。原则上优先保护单元的空间格局应保持基本稳定，重点管控单元的空间格局应与环境治理格局相匹配。</w:t>
      </w:r>
    </w:p>
    <w:p w14:paraId="7FF25AE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楷体_GBK" w:hAnsi="方正楷体_GBK" w:eastAsia="方正楷体_GBK" w:cs="方正楷体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（二）生态环境准入清单调整要求。</w:t>
      </w:r>
    </w:p>
    <w:p w14:paraId="0F6C60D2">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生态环境准入清单管理要求应保持一定的延续性，按照</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市级总体管控要求</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区县总体管控要求—单元管控要求</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个层级框架，以区域生态环境质量改善为核心，聚焦生态环境准入清单实施中发现的问题，坚持目标和问题导向，调整生态环境准入清单。产业准入和生态环境管理相关的法律法规、政策文件等新增、修订、废止的，依法依规同步调整生态环境准入清单。环境要素分区管控要求调整的，同时调整生态环境准入清单。针对近几年环境质量考核不达标或存在突出环境风险的单元，有针对性</w:t>
      </w:r>
      <w:r>
        <w:rPr>
          <w:rFonts w:hint="default" w:ascii="Times New Roman" w:hAnsi="Times New Roman" w:eastAsia="方正仿宋_GBK" w:cs="Times New Roman"/>
          <w:i w:val="0"/>
          <w:iCs w:val="0"/>
          <w:caps w:val="0"/>
          <w:color w:val="000000"/>
          <w:spacing w:val="0"/>
          <w:sz w:val="32"/>
          <w:szCs w:val="32"/>
          <w:shd w:val="clear" w:fill="FFFFFF"/>
          <w:lang w:val="en-US" w:eastAsia="zh-CN"/>
        </w:rPr>
        <w:t>地</w:t>
      </w:r>
      <w:r>
        <w:rPr>
          <w:rFonts w:hint="default" w:ascii="Times New Roman" w:hAnsi="Times New Roman" w:eastAsia="方正仿宋_GBK" w:cs="Times New Roman"/>
          <w:i w:val="0"/>
          <w:iCs w:val="0"/>
          <w:caps w:val="0"/>
          <w:color w:val="000000"/>
          <w:spacing w:val="0"/>
          <w:sz w:val="32"/>
          <w:szCs w:val="32"/>
          <w:shd w:val="clear" w:fill="FFFFFF"/>
        </w:rPr>
        <w:t>补充、强化、细化相应的生态环境准入清单管控要求。</w:t>
      </w:r>
    </w:p>
    <w:p w14:paraId="674805D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r>
        <w:rPr>
          <w:rFonts w:hint="eastAsia" w:ascii="方正黑体_GBK" w:hAnsi="方正黑体_GBK" w:eastAsia="方正黑体_GBK" w:cs="方正黑体_GBK"/>
          <w:i w:val="0"/>
          <w:iCs w:val="0"/>
          <w:caps w:val="0"/>
          <w:color w:val="000000"/>
          <w:spacing w:val="0"/>
          <w:sz w:val="32"/>
          <w:szCs w:val="32"/>
          <w:shd w:val="clear" w:fill="FFFFFF"/>
        </w:rPr>
        <w:t>四、调整结果</w:t>
      </w:r>
    </w:p>
    <w:p w14:paraId="4FA31D60">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楷体_GBK" w:hAnsi="方正楷体_GBK" w:eastAsia="方正楷体_GBK" w:cs="方正楷体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（一）环境管控单元调整结果。</w:t>
      </w:r>
    </w:p>
    <w:p w14:paraId="15E68BF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调整后，全区</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lang w:val="en-US" w:eastAsia="zh-CN"/>
        </w:rPr>
        <w:t>含经开区）</w:t>
      </w:r>
      <w:r>
        <w:rPr>
          <w:rFonts w:hint="default" w:ascii="Times New Roman" w:hAnsi="Times New Roman" w:eastAsia="方正仿宋_GBK" w:cs="Times New Roman"/>
          <w:i w:val="0"/>
          <w:iCs w:val="0"/>
          <w:caps w:val="0"/>
          <w:color w:val="000000"/>
          <w:spacing w:val="0"/>
          <w:sz w:val="32"/>
          <w:szCs w:val="32"/>
          <w:shd w:val="clear" w:fill="FFFFFF"/>
        </w:rPr>
        <w:t>环境管控单元由20个调整为24个。</w:t>
      </w:r>
    </w:p>
    <w:p w14:paraId="148A1E5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bookmarkStart w:id="0" w:name="_Hlk152166401"/>
      <w:r>
        <w:rPr>
          <w:rFonts w:hint="default" w:ascii="Times New Roman" w:hAnsi="Times New Roman" w:eastAsia="方正仿宋_GBK" w:cs="Times New Roman"/>
          <w:i w:val="0"/>
          <w:iCs w:val="0"/>
          <w:caps w:val="0"/>
          <w:color w:val="000000"/>
          <w:spacing w:val="0"/>
          <w:sz w:val="32"/>
          <w:szCs w:val="32"/>
          <w:shd w:val="clear" w:fill="FFFFFF"/>
        </w:rPr>
        <w:t>优先保护单元：由12个调整为11个，调整</w:t>
      </w:r>
      <w:r>
        <w:rPr>
          <w:rFonts w:hint="default" w:ascii="Times New Roman" w:hAnsi="Times New Roman" w:eastAsia="方正仿宋_GBK" w:cs="Times New Roman"/>
          <w:i w:val="0"/>
          <w:iCs w:val="0"/>
          <w:caps w:val="0"/>
          <w:color w:val="000000"/>
          <w:spacing w:val="0"/>
          <w:sz w:val="32"/>
          <w:szCs w:val="32"/>
          <w:shd w:val="clear" w:fill="FFFFFF"/>
          <w:lang w:eastAsia="zh-CN"/>
        </w:rPr>
        <w:t>后面积占比</w:t>
      </w:r>
      <w:r>
        <w:rPr>
          <w:rFonts w:hint="default" w:ascii="Times New Roman" w:hAnsi="Times New Roman" w:eastAsia="方正仿宋_GBK" w:cs="Times New Roman"/>
          <w:i w:val="0"/>
          <w:iCs w:val="0"/>
          <w:caps w:val="0"/>
          <w:color w:val="000000"/>
          <w:spacing w:val="0"/>
          <w:sz w:val="32"/>
          <w:szCs w:val="32"/>
          <w:shd w:val="clear" w:fill="FFFFFF"/>
        </w:rPr>
        <w:t>为17.4%。</w:t>
      </w:r>
    </w:p>
    <w:p w14:paraId="1E7912D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lang w:eastAsia="zh-CN"/>
        </w:rPr>
      </w:pPr>
      <w:r>
        <w:rPr>
          <w:rFonts w:hint="default" w:ascii="Times New Roman" w:hAnsi="Times New Roman" w:eastAsia="方正仿宋_GBK" w:cs="Times New Roman"/>
          <w:i w:val="0"/>
          <w:iCs w:val="0"/>
          <w:caps w:val="0"/>
          <w:color w:val="000000"/>
          <w:spacing w:val="0"/>
          <w:sz w:val="32"/>
          <w:szCs w:val="32"/>
          <w:shd w:val="clear" w:fill="FFFFFF"/>
        </w:rPr>
        <w:t>重点管控单元：由4个调整为9个，调整</w:t>
      </w:r>
      <w:r>
        <w:rPr>
          <w:rFonts w:hint="default" w:ascii="Times New Roman" w:hAnsi="Times New Roman" w:eastAsia="方正仿宋_GBK" w:cs="Times New Roman"/>
          <w:i w:val="0"/>
          <w:iCs w:val="0"/>
          <w:caps w:val="0"/>
          <w:color w:val="000000"/>
          <w:spacing w:val="0"/>
          <w:sz w:val="32"/>
          <w:szCs w:val="32"/>
          <w:shd w:val="clear" w:fill="FFFFFF"/>
          <w:lang w:eastAsia="zh-CN"/>
        </w:rPr>
        <w:t>后面积占比</w:t>
      </w:r>
      <w:r>
        <w:rPr>
          <w:rFonts w:hint="default" w:ascii="Times New Roman" w:hAnsi="Times New Roman" w:eastAsia="方正仿宋_GBK" w:cs="Times New Roman"/>
          <w:i w:val="0"/>
          <w:iCs w:val="0"/>
          <w:caps w:val="0"/>
          <w:color w:val="000000"/>
          <w:spacing w:val="0"/>
          <w:sz w:val="32"/>
          <w:szCs w:val="32"/>
          <w:shd w:val="clear" w:fill="FFFFFF"/>
        </w:rPr>
        <w:t>为46%</w:t>
      </w:r>
      <w:r>
        <w:rPr>
          <w:rFonts w:hint="default" w:ascii="Times New Roman" w:hAnsi="Times New Roman" w:eastAsia="方正仿宋_GBK" w:cs="Times New Roman"/>
          <w:i w:val="0"/>
          <w:iCs w:val="0"/>
          <w:caps w:val="0"/>
          <w:color w:val="000000"/>
          <w:spacing w:val="0"/>
          <w:sz w:val="32"/>
          <w:szCs w:val="32"/>
          <w:shd w:val="clear" w:fill="FFFFFF"/>
          <w:lang w:eastAsia="zh-CN"/>
        </w:rPr>
        <w:t>。</w:t>
      </w:r>
    </w:p>
    <w:p w14:paraId="32BF0738">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一般管控单元：4个，数量无变</w:t>
      </w:r>
      <w:bookmarkStart w:id="13" w:name="_GoBack"/>
      <w:bookmarkEnd w:id="13"/>
      <w:r>
        <w:rPr>
          <w:rFonts w:hint="default" w:ascii="Times New Roman" w:hAnsi="Times New Roman" w:eastAsia="方正仿宋_GBK" w:cs="Times New Roman"/>
          <w:i w:val="0"/>
          <w:iCs w:val="0"/>
          <w:caps w:val="0"/>
          <w:color w:val="000000"/>
          <w:spacing w:val="0"/>
          <w:sz w:val="32"/>
          <w:szCs w:val="32"/>
          <w:shd w:val="clear" w:fill="FFFFFF"/>
        </w:rPr>
        <w:t>化</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调整</w:t>
      </w:r>
      <w:r>
        <w:rPr>
          <w:rFonts w:hint="default" w:ascii="Times New Roman" w:hAnsi="Times New Roman" w:eastAsia="方正仿宋_GBK" w:cs="Times New Roman"/>
          <w:i w:val="0"/>
          <w:iCs w:val="0"/>
          <w:caps w:val="0"/>
          <w:color w:val="000000"/>
          <w:spacing w:val="0"/>
          <w:sz w:val="32"/>
          <w:szCs w:val="32"/>
          <w:shd w:val="clear" w:fill="FFFFFF"/>
          <w:lang w:eastAsia="zh-CN"/>
        </w:rPr>
        <w:t>后面积占比</w:t>
      </w:r>
      <w:r>
        <w:rPr>
          <w:rFonts w:hint="default" w:ascii="Times New Roman" w:hAnsi="Times New Roman" w:eastAsia="方正仿宋_GBK" w:cs="Times New Roman"/>
          <w:i w:val="0"/>
          <w:iCs w:val="0"/>
          <w:caps w:val="0"/>
          <w:color w:val="000000"/>
          <w:spacing w:val="0"/>
          <w:sz w:val="32"/>
          <w:szCs w:val="32"/>
          <w:shd w:val="clear" w:fill="FFFFFF"/>
        </w:rPr>
        <w:t>为36.6%。</w:t>
      </w:r>
    </w:p>
    <w:bookmarkEnd w:id="0"/>
    <w:p w14:paraId="580DC2C7">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方正楷体_GBK" w:hAnsi="方正楷体_GBK" w:eastAsia="方正楷体_GBK" w:cs="方正楷体_GBK"/>
          <w:i w:val="0"/>
          <w:iCs w:val="0"/>
          <w:caps w:val="0"/>
          <w:color w:val="000000"/>
          <w:spacing w:val="0"/>
          <w:sz w:val="32"/>
          <w:szCs w:val="32"/>
          <w:shd w:val="clear" w:fill="FFFFFF"/>
        </w:rPr>
      </w:pPr>
      <w:r>
        <w:rPr>
          <w:rFonts w:hint="default" w:ascii="方正楷体_GBK" w:hAnsi="方正楷体_GBK" w:eastAsia="方正楷体_GBK" w:cs="方正楷体_GBK"/>
          <w:i w:val="0"/>
          <w:iCs w:val="0"/>
          <w:caps w:val="0"/>
          <w:color w:val="000000"/>
          <w:spacing w:val="0"/>
          <w:sz w:val="32"/>
          <w:szCs w:val="32"/>
          <w:shd w:val="clear" w:fill="FFFFFF"/>
        </w:rPr>
        <w:t>（二）生态环境准入清单调整结果。</w:t>
      </w:r>
    </w:p>
    <w:p w14:paraId="338B14E8">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结合</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生态环境分区管控发布以来相关环境保护政策、规划等文件更新和</w:t>
      </w:r>
      <w:r>
        <w:rPr>
          <w:rFonts w:hint="default" w:ascii="Times New Roman" w:hAnsi="Times New Roman" w:eastAsia="方正仿宋_GBK" w:cs="Times New Roman"/>
          <w:i w:val="0"/>
          <w:iCs w:val="0"/>
          <w:caps w:val="0"/>
          <w:color w:val="000000"/>
          <w:spacing w:val="0"/>
          <w:sz w:val="32"/>
          <w:szCs w:val="32"/>
          <w:shd w:val="clear" w:fill="FFFFFF"/>
          <w:lang w:val="en-US" w:eastAsia="zh-CN"/>
        </w:rPr>
        <w:t>全</w:t>
      </w:r>
      <w:r>
        <w:rPr>
          <w:rFonts w:hint="default" w:ascii="Times New Roman" w:hAnsi="Times New Roman" w:eastAsia="方正仿宋_GBK" w:cs="Times New Roman"/>
          <w:i w:val="0"/>
          <w:iCs w:val="0"/>
          <w:caps w:val="0"/>
          <w:color w:val="000000"/>
          <w:spacing w:val="0"/>
          <w:sz w:val="32"/>
          <w:szCs w:val="32"/>
          <w:shd w:val="clear" w:fill="FFFFFF"/>
        </w:rPr>
        <w:t>区生态环境问题演变情况，在调整后的重点管控单元市级总体管控要求上进一步筛选、细化、优化，对</w:t>
      </w:r>
      <w:r>
        <w:rPr>
          <w:rFonts w:hint="default" w:ascii="Times New Roman" w:hAnsi="Times New Roman" w:eastAsia="方正仿宋_GBK" w:cs="Times New Roman"/>
          <w:i w:val="0"/>
          <w:iCs w:val="0"/>
          <w:caps w:val="0"/>
          <w:color w:val="000000"/>
          <w:spacing w:val="0"/>
          <w:sz w:val="32"/>
          <w:szCs w:val="32"/>
          <w:shd w:val="clear" w:fill="FFFFFF"/>
          <w:lang w:val="en-US" w:eastAsia="zh-CN"/>
        </w:rPr>
        <w:t>全</w:t>
      </w:r>
      <w:r>
        <w:rPr>
          <w:rFonts w:hint="default" w:ascii="Times New Roman" w:hAnsi="Times New Roman" w:eastAsia="方正仿宋_GBK" w:cs="Times New Roman"/>
          <w:i w:val="0"/>
          <w:iCs w:val="0"/>
          <w:caps w:val="0"/>
          <w:color w:val="000000"/>
          <w:spacing w:val="0"/>
          <w:sz w:val="32"/>
          <w:szCs w:val="32"/>
          <w:shd w:val="clear" w:fill="FFFFFF"/>
        </w:rPr>
        <w:t>区生态环境准入清单总体管控要求进行了调整，调整后</w:t>
      </w:r>
      <w:r>
        <w:rPr>
          <w:rFonts w:hint="default" w:ascii="Times New Roman" w:hAnsi="Times New Roman" w:eastAsia="方正仿宋_GBK" w:cs="Times New Roman"/>
          <w:i w:val="0"/>
          <w:iCs w:val="0"/>
          <w:caps w:val="0"/>
          <w:color w:val="000000"/>
          <w:spacing w:val="0"/>
          <w:sz w:val="32"/>
          <w:szCs w:val="32"/>
          <w:shd w:val="clear" w:fill="FFFFFF"/>
          <w:lang w:val="en-US" w:eastAsia="zh-CN"/>
        </w:rPr>
        <w:t>全</w:t>
      </w:r>
      <w:r>
        <w:rPr>
          <w:rFonts w:hint="default" w:ascii="Times New Roman" w:hAnsi="Times New Roman" w:eastAsia="方正仿宋_GBK" w:cs="Times New Roman"/>
          <w:i w:val="0"/>
          <w:iCs w:val="0"/>
          <w:caps w:val="0"/>
          <w:color w:val="000000"/>
          <w:spacing w:val="0"/>
          <w:sz w:val="32"/>
          <w:szCs w:val="32"/>
          <w:shd w:val="clear" w:fill="FFFFFF"/>
        </w:rPr>
        <w:t>区总体管控要求共19条</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在原管控要求基础上删除5条，保留并修改6条，新增13条</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w:t>
      </w:r>
    </w:p>
    <w:p w14:paraId="30395573">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Times New Roman" w:hAnsi="Times New Roman" w:eastAsia="方正仿宋_GBK" w:cs="Times New Roman"/>
          <w:i w:val="0"/>
          <w:iCs w:val="0"/>
          <w:caps w:val="0"/>
          <w:color w:val="000000"/>
          <w:spacing w:val="0"/>
          <w:sz w:val="32"/>
          <w:szCs w:val="32"/>
          <w:shd w:val="clear" w:fill="FFFFFF"/>
        </w:rPr>
        <w:t>结合调整后环境管控单元的生态环境主要特征、突出问题和环境质量目标，以改善生态环境质量为导向，提出了具有针对性、可操作性的管控要求。</w:t>
      </w:r>
    </w:p>
    <w:p w14:paraId="4F42697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方正黑体_GBK" w:hAnsi="方正黑体_GBK" w:eastAsia="方正黑体_GBK" w:cs="方正黑体_GBK"/>
          <w:i w:val="0"/>
          <w:iCs w:val="0"/>
          <w:caps w:val="0"/>
          <w:color w:val="000000"/>
          <w:spacing w:val="0"/>
          <w:sz w:val="32"/>
          <w:szCs w:val="32"/>
          <w:shd w:val="clear" w:fill="FFFFFF"/>
        </w:rPr>
      </w:pPr>
      <w:r>
        <w:rPr>
          <w:rFonts w:hint="eastAsia" w:ascii="方正黑体_GBK" w:hAnsi="方正黑体_GBK" w:eastAsia="方正黑体_GBK" w:cs="方正黑体_GBK"/>
          <w:i w:val="0"/>
          <w:iCs w:val="0"/>
          <w:caps w:val="0"/>
          <w:color w:val="000000"/>
          <w:spacing w:val="0"/>
          <w:sz w:val="32"/>
          <w:szCs w:val="32"/>
          <w:shd w:val="clear" w:fill="FFFFFF"/>
        </w:rPr>
        <w:t>五、实施保障</w:t>
      </w:r>
    </w:p>
    <w:p w14:paraId="21B6127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（一）加强组织保障。</w:t>
      </w:r>
      <w:r>
        <w:rPr>
          <w:rFonts w:hint="default" w:ascii="Times New Roman" w:hAnsi="Times New Roman" w:eastAsia="方正仿宋_GBK" w:cs="Times New Roman"/>
          <w:i w:val="0"/>
          <w:iCs w:val="0"/>
          <w:caps w:val="0"/>
          <w:color w:val="000000"/>
          <w:spacing w:val="0"/>
          <w:sz w:val="32"/>
          <w:szCs w:val="32"/>
          <w:shd w:val="clear" w:fill="FFFFFF"/>
        </w:rPr>
        <w:t>区政府</w:t>
      </w:r>
      <w:r>
        <w:rPr>
          <w:rFonts w:hint="default" w:ascii="Times New Roman" w:hAnsi="Times New Roman" w:eastAsia="方正仿宋_GBK" w:cs="Times New Roman"/>
          <w:i w:val="0"/>
          <w:iCs w:val="0"/>
          <w:caps w:val="0"/>
          <w:color w:val="000000"/>
          <w:spacing w:val="0"/>
          <w:sz w:val="32"/>
          <w:szCs w:val="32"/>
          <w:shd w:val="clear" w:fill="FFFFFF"/>
          <w:lang w:val="en-US" w:eastAsia="zh-CN"/>
        </w:rPr>
        <w:t>各</w:t>
      </w:r>
      <w:r>
        <w:rPr>
          <w:rFonts w:hint="default" w:ascii="Times New Roman" w:hAnsi="Times New Roman" w:eastAsia="方正仿宋_GBK" w:cs="Times New Roman"/>
          <w:i w:val="0"/>
          <w:iCs w:val="0"/>
          <w:caps w:val="0"/>
          <w:color w:val="000000"/>
          <w:spacing w:val="0"/>
          <w:sz w:val="32"/>
          <w:szCs w:val="32"/>
          <w:shd w:val="clear" w:fill="FFFFFF"/>
        </w:rPr>
        <w:t>部门</w:t>
      </w:r>
      <w:r>
        <w:rPr>
          <w:rFonts w:hint="default"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lang w:val="en-US" w:eastAsia="zh-CN"/>
        </w:rPr>
        <w:t>各镇街</w:t>
      </w:r>
      <w:r>
        <w:rPr>
          <w:rFonts w:hint="default" w:ascii="Times New Roman" w:hAnsi="Times New Roman" w:eastAsia="方正仿宋_GBK" w:cs="Times New Roman"/>
          <w:i w:val="0"/>
          <w:iCs w:val="0"/>
          <w:caps w:val="0"/>
          <w:color w:val="000000"/>
          <w:spacing w:val="0"/>
          <w:sz w:val="32"/>
          <w:szCs w:val="32"/>
          <w:shd w:val="clear" w:fill="FFFFFF"/>
        </w:rPr>
        <w:t>要高度重视，加强宣传引导，全面贯彻落实</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生态环境分区管控制度。</w:t>
      </w:r>
    </w:p>
    <w:p w14:paraId="4234EFD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240" w:lineRule="auto"/>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r>
        <w:rPr>
          <w:rFonts w:hint="default" w:ascii="方正楷体_GBK" w:hAnsi="方正楷体_GBK" w:eastAsia="方正楷体_GBK" w:cs="方正楷体_GBK"/>
          <w:i w:val="0"/>
          <w:iCs w:val="0"/>
          <w:caps w:val="0"/>
          <w:color w:val="000000"/>
          <w:spacing w:val="0"/>
          <w:sz w:val="32"/>
          <w:szCs w:val="32"/>
          <w:shd w:val="clear" w:fill="FFFFFF"/>
        </w:rPr>
        <w:t>（二）强化成果应用。</w:t>
      </w:r>
      <w:r>
        <w:rPr>
          <w:rFonts w:hint="default" w:ascii="Times New Roman" w:hAnsi="Times New Roman" w:eastAsia="方正仿宋_GBK" w:cs="Times New Roman"/>
          <w:i w:val="0"/>
          <w:iCs w:val="0"/>
          <w:caps w:val="0"/>
          <w:color w:val="000000"/>
          <w:spacing w:val="0"/>
          <w:sz w:val="32"/>
          <w:szCs w:val="32"/>
          <w:shd w:val="clear" w:fill="FFFFFF"/>
        </w:rPr>
        <w:t>区生态环境部门牵头组织</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生态环境分区管控实施、更新调整工作。区政府有关部门</w:t>
      </w:r>
      <w:r>
        <w:rPr>
          <w:rFonts w:hint="default" w:ascii="Times New Roman" w:hAnsi="Times New Roman" w:eastAsia="方正仿宋_GBK" w:cs="Times New Roman"/>
          <w:i w:val="0"/>
          <w:iCs w:val="0"/>
          <w:caps w:val="0"/>
          <w:color w:val="000000"/>
          <w:spacing w:val="0"/>
          <w:sz w:val="32"/>
          <w:szCs w:val="32"/>
          <w:shd w:val="clear" w:fill="FFFFFF"/>
          <w:lang w:val="en-US" w:eastAsia="zh-CN"/>
        </w:rPr>
        <w:t>按照</w:t>
      </w:r>
      <w:r>
        <w:rPr>
          <w:rFonts w:hint="default" w:ascii="Times New Roman" w:hAnsi="Times New Roman" w:eastAsia="方正仿宋_GBK" w:cs="Times New Roman"/>
          <w:i w:val="0"/>
          <w:iCs w:val="0"/>
          <w:caps w:val="0"/>
          <w:color w:val="000000"/>
          <w:spacing w:val="0"/>
          <w:sz w:val="32"/>
          <w:szCs w:val="32"/>
          <w:shd w:val="clear" w:fill="FFFFFF"/>
        </w:rPr>
        <w:t>职责职能</w:t>
      </w:r>
      <w:r>
        <w:rPr>
          <w:rFonts w:hint="default" w:ascii="Times New Roman" w:hAnsi="Times New Roman" w:eastAsia="方正仿宋_GBK" w:cs="Times New Roman"/>
          <w:i w:val="0"/>
          <w:iCs w:val="0"/>
          <w:caps w:val="0"/>
          <w:color w:val="000000"/>
          <w:spacing w:val="0"/>
          <w:sz w:val="32"/>
          <w:szCs w:val="32"/>
          <w:shd w:val="clear" w:fill="FFFFFF"/>
          <w:lang w:val="en-US" w:eastAsia="zh-CN"/>
        </w:rPr>
        <w:t>划分，</w:t>
      </w:r>
      <w:r>
        <w:rPr>
          <w:rFonts w:hint="default" w:ascii="Times New Roman" w:hAnsi="Times New Roman" w:eastAsia="方正仿宋_GBK" w:cs="Times New Roman"/>
          <w:i w:val="0"/>
          <w:iCs w:val="0"/>
          <w:caps w:val="0"/>
          <w:color w:val="000000"/>
          <w:spacing w:val="0"/>
          <w:sz w:val="32"/>
          <w:szCs w:val="32"/>
          <w:shd w:val="clear" w:fill="FFFFFF"/>
        </w:rPr>
        <w:t>推动</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三线一单</w:t>
      </w:r>
      <w:r>
        <w:rPr>
          <w:rFonts w:hint="eastAsia" w:ascii="Times New Roman" w:hAnsi="Times New Roman" w:eastAsia="方正仿宋_GBK" w:cs="Times New Roman"/>
          <w:i w:val="0"/>
          <w:iCs w:val="0"/>
          <w:caps w:val="0"/>
          <w:color w:val="000000"/>
          <w:spacing w:val="0"/>
          <w:sz w:val="32"/>
          <w:szCs w:val="32"/>
          <w:shd w:val="clear" w:fill="FFFFFF"/>
          <w:lang w:eastAsia="zh-CN"/>
        </w:rPr>
        <w:t>”</w:t>
      </w:r>
      <w:r>
        <w:rPr>
          <w:rFonts w:hint="default" w:ascii="Times New Roman" w:hAnsi="Times New Roman" w:eastAsia="方正仿宋_GBK" w:cs="Times New Roman"/>
          <w:i w:val="0"/>
          <w:iCs w:val="0"/>
          <w:caps w:val="0"/>
          <w:color w:val="000000"/>
          <w:spacing w:val="0"/>
          <w:sz w:val="32"/>
          <w:szCs w:val="32"/>
          <w:shd w:val="clear" w:fill="FFFFFF"/>
        </w:rPr>
        <w:t>生态环境分区管控在政策制定、规划编制、产业布局、工业园区管理、用地审批、项目建设等</w:t>
      </w:r>
      <w:r>
        <w:rPr>
          <w:rFonts w:hint="default" w:ascii="Times New Roman" w:hAnsi="Times New Roman" w:eastAsia="方正仿宋_GBK" w:cs="Times New Roman"/>
          <w:i w:val="0"/>
          <w:iCs w:val="0"/>
          <w:caps w:val="0"/>
          <w:color w:val="000000"/>
          <w:spacing w:val="0"/>
          <w:sz w:val="32"/>
          <w:szCs w:val="32"/>
          <w:shd w:val="clear" w:fill="FFFFFF"/>
          <w:lang w:val="en-US" w:eastAsia="zh-CN"/>
        </w:rPr>
        <w:t>重要领域</w:t>
      </w:r>
      <w:r>
        <w:rPr>
          <w:rFonts w:hint="default" w:ascii="Times New Roman" w:hAnsi="Times New Roman" w:eastAsia="方正仿宋_GBK" w:cs="Times New Roman"/>
          <w:i w:val="0"/>
          <w:iCs w:val="0"/>
          <w:caps w:val="0"/>
          <w:color w:val="000000"/>
          <w:spacing w:val="0"/>
          <w:sz w:val="32"/>
          <w:szCs w:val="32"/>
          <w:shd w:val="clear" w:fill="FFFFFF"/>
        </w:rPr>
        <w:t>的应用。</w:t>
      </w:r>
      <w:r>
        <w:rPr>
          <w:rFonts w:hint="default" w:ascii="Times New Roman" w:hAnsi="Times New Roman" w:eastAsia="方正仿宋_GBK" w:cs="Times New Roman"/>
          <w:i w:val="0"/>
          <w:iCs w:val="0"/>
          <w:caps w:val="0"/>
          <w:color w:val="000000"/>
          <w:spacing w:val="0"/>
          <w:sz w:val="32"/>
          <w:szCs w:val="32"/>
          <w:shd w:val="clear" w:fill="FFFFFF"/>
        </w:rPr>
        <w:br w:type="textWrapping"/>
      </w:r>
      <w:r>
        <w:rPr>
          <w:rFonts w:hint="eastAsia" w:ascii="Times New Roman" w:hAnsi="Times New Roman" w:eastAsia="方正仿宋_GBK" w:cs="Times New Roman"/>
          <w:i w:val="0"/>
          <w:iCs w:val="0"/>
          <w:caps w:val="0"/>
          <w:color w:val="000000"/>
          <w:spacing w:val="0"/>
          <w:sz w:val="32"/>
          <w:szCs w:val="32"/>
          <w:shd w:val="clear" w:fill="FFFFFF"/>
          <w:lang w:val="en-US" w:eastAsia="zh-CN"/>
        </w:rPr>
        <w:t xml:space="preserve">   </w:t>
      </w:r>
      <w:r>
        <w:rPr>
          <w:rFonts w:hint="eastAsia" w:ascii="方正楷体_GBK" w:hAnsi="方正楷体_GBK" w:eastAsia="方正楷体_GBK" w:cs="方正楷体_GBK"/>
          <w:i w:val="0"/>
          <w:iCs w:val="0"/>
          <w:caps w:val="0"/>
          <w:color w:val="000000"/>
          <w:spacing w:val="0"/>
          <w:sz w:val="32"/>
          <w:szCs w:val="32"/>
          <w:shd w:val="clear" w:fill="FFFFFF"/>
          <w:lang w:val="en-US" w:eastAsia="zh-CN"/>
        </w:rPr>
        <w:t xml:space="preserve"> </w:t>
      </w:r>
      <w:r>
        <w:rPr>
          <w:rFonts w:hint="eastAsia" w:ascii="方正楷体_GBK" w:hAnsi="方正楷体_GBK" w:eastAsia="方正楷体_GBK" w:cs="方正楷体_GBK"/>
          <w:i w:val="0"/>
          <w:iCs w:val="0"/>
          <w:caps w:val="0"/>
          <w:color w:val="000000"/>
          <w:spacing w:val="0"/>
          <w:sz w:val="32"/>
          <w:szCs w:val="32"/>
          <w:shd w:val="clear" w:fill="FFFFFF"/>
        </w:rPr>
        <w:t>（三）强化技术支撑。</w:t>
      </w:r>
      <w:r>
        <w:rPr>
          <w:rFonts w:hint="default" w:ascii="Times New Roman" w:hAnsi="Times New Roman" w:eastAsia="方正仿宋_GBK" w:cs="Times New Roman"/>
          <w:i w:val="0"/>
          <w:iCs w:val="0"/>
          <w:caps w:val="0"/>
          <w:color w:val="000000"/>
          <w:spacing w:val="0"/>
          <w:sz w:val="32"/>
          <w:szCs w:val="32"/>
          <w:shd w:val="clear" w:fill="FFFFFF"/>
        </w:rPr>
        <w:t>区生态环境部门要强化技术支撑，保持技术队伍稳定，规范动态更新、定期调整成果的科学论证和审查工作，保障成果质量。</w:t>
      </w:r>
    </w:p>
    <w:p w14:paraId="1654FD4F">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sz w:val="32"/>
          <w:szCs w:val="20"/>
          <w:lang w:val="en-US" w:eastAsia="zh-CN"/>
        </w:rPr>
      </w:pPr>
      <w:r>
        <w:rPr>
          <w:rFonts w:hint="default" w:ascii="方正楷体_GBK" w:hAnsi="方正楷体_GBK" w:eastAsia="方正楷体_GBK" w:cs="方正楷体_GBK"/>
          <w:i w:val="0"/>
          <w:iCs w:val="0"/>
          <w:caps w:val="0"/>
          <w:color w:val="000000"/>
          <w:spacing w:val="0"/>
          <w:sz w:val="32"/>
          <w:szCs w:val="32"/>
          <w:shd w:val="clear" w:fill="FFFFFF"/>
          <w:lang w:val="en-US" w:eastAsia="zh-CN"/>
        </w:rPr>
        <w:t>（四）其他调整说明。</w:t>
      </w:r>
      <w:r>
        <w:rPr>
          <w:rFonts w:hint="default" w:ascii="Times New Roman" w:hAnsi="Times New Roman" w:eastAsia="方正仿宋_GBK" w:cs="Times New Roman"/>
          <w:i w:val="0"/>
          <w:iCs w:val="0"/>
          <w:caps w:val="0"/>
          <w:color w:val="000000"/>
          <w:spacing w:val="0"/>
          <w:sz w:val="32"/>
          <w:szCs w:val="32"/>
          <w:shd w:val="clear" w:fill="FFFFFF"/>
          <w:lang w:val="en-US" w:eastAsia="zh-CN"/>
        </w:rPr>
        <w:t>本方案自印发之日起施行。原《重庆市大足区人民政府关于落实生态保护红线、环境质量底线、资源利用上线制定生态环境准入清单实施生态环境分区管控的实施意见》（大足府发〔2020〕39号）同时废止。</w:t>
      </w:r>
    </w:p>
    <w:p w14:paraId="76D4997B">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sz w:val="32"/>
          <w:szCs w:val="20"/>
          <w:lang w:val="en-US" w:eastAsia="zh-CN"/>
        </w:rPr>
      </w:pPr>
    </w:p>
    <w:p w14:paraId="44CAAC97">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附件：1．大足区环境管控单元调整结果分布图（2023年）</w:t>
      </w:r>
    </w:p>
    <w:p w14:paraId="1D308F12">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1600" w:firstLineChars="500"/>
        <w:jc w:val="both"/>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2．重庆市大足区环境管控单元调整结果表（2023年）</w:t>
      </w:r>
    </w:p>
    <w:p w14:paraId="29E1CE4A">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1600" w:firstLineChars="500"/>
        <w:jc w:val="both"/>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3．重庆市大足区生态环境准入清单总体管控要求</w:t>
      </w:r>
    </w:p>
    <w:p w14:paraId="61B0D230">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1600" w:firstLineChars="500"/>
        <w:jc w:val="both"/>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（2023年）</w:t>
      </w:r>
    </w:p>
    <w:p w14:paraId="2882753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72CCA23">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2CB35EA1">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7771E58D">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08CB4C1F">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3943E99">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0EAD9DB7">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5E58DE8">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3B31E796">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rPr>
      </w:pPr>
    </w:p>
    <w:p w14:paraId="711586B6">
      <w:pPr>
        <w:pStyle w:val="15"/>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仿宋_GBK" w:cs="Times New Roman"/>
          <w:i w:val="0"/>
          <w:iCs w:val="0"/>
          <w:caps w:val="0"/>
          <w:color w:val="000000"/>
          <w:spacing w:val="0"/>
          <w:sz w:val="32"/>
          <w:szCs w:val="32"/>
          <w:shd w:val="clear" w:fill="FFFFFF"/>
        </w:rPr>
        <w:sectPr>
          <w:headerReference r:id="rId3" w:type="default"/>
          <w:footerReference r:id="rId4" w:type="default"/>
          <w:pgSz w:w="11906" w:h="16838"/>
          <w:pgMar w:top="1962" w:right="1474" w:bottom="1848" w:left="1587" w:header="851" w:footer="992" w:gutter="0"/>
          <w:lnNumType w:countBy="0" w:restart="continuous"/>
          <w:pgNumType w:fmt="numberInDash"/>
          <w:cols w:space="0" w:num="1"/>
          <w:rtlGutter w:val="0"/>
          <w:docGrid w:type="lines" w:linePitch="312" w:charSpace="0"/>
        </w:sectPr>
      </w:pPr>
    </w:p>
    <w:p w14:paraId="1DDB605B">
      <w:pPr>
        <w:bidi w:val="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附件1</w:t>
      </w:r>
    </w:p>
    <w:p w14:paraId="701350EF">
      <w:pPr>
        <w:pStyle w:val="2"/>
        <w:rPr>
          <w:rFonts w:hint="default"/>
          <w:lang w:val="en-US" w:eastAsia="zh-CN"/>
        </w:rPr>
      </w:pPr>
      <w:r>
        <w:rPr>
          <w:rFonts w:hint="default"/>
        </w:rPr>
        <w:drawing>
          <wp:anchor distT="0" distB="0" distL="114300" distR="114300" simplePos="0" relativeHeight="251659264" behindDoc="0" locked="0" layoutInCell="1" allowOverlap="1">
            <wp:simplePos x="0" y="0"/>
            <wp:positionH relativeFrom="column">
              <wp:posOffset>955040</wp:posOffset>
            </wp:positionH>
            <wp:positionV relativeFrom="paragraph">
              <wp:posOffset>241300</wp:posOffset>
            </wp:positionV>
            <wp:extent cx="6198235" cy="3824605"/>
            <wp:effectExtent l="0" t="0" r="12065" b="4445"/>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6198235" cy="3824605"/>
                    </a:xfrm>
                    <a:prstGeom prst="rect">
                      <a:avLst/>
                    </a:prstGeom>
                    <a:noFill/>
                    <a:ln>
                      <a:noFill/>
                    </a:ln>
                  </pic:spPr>
                </pic:pic>
              </a:graphicData>
            </a:graphic>
          </wp:anchor>
        </w:drawing>
      </w:r>
    </w:p>
    <w:p w14:paraId="682B50CE">
      <w:pPr>
        <w:rPr>
          <w:rFonts w:hint="default" w:ascii="Times New Roman" w:hAnsi="Times New Roman" w:cs="Times New Roman"/>
          <w:lang w:val="en-US" w:eastAsia="zh-CN"/>
        </w:rPr>
      </w:pPr>
    </w:p>
    <w:p w14:paraId="70366D32">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p>
    <w:p w14:paraId="1A7B91CC">
      <w:pPr>
        <w:bidi w:val="0"/>
        <w:jc w:val="center"/>
        <w:rPr>
          <w:rFonts w:hint="default" w:ascii="Times New Roman" w:hAnsi="Times New Roman" w:cs="Times New Roman"/>
        </w:rPr>
      </w:pPr>
    </w:p>
    <w:p w14:paraId="42E7D5BD">
      <w:pPr>
        <w:bidi w:val="0"/>
        <w:rPr>
          <w:rFonts w:hint="default" w:ascii="Times New Roman" w:hAnsi="Times New Roman" w:eastAsia="方正黑体_GBK" w:cs="Times New Roman"/>
          <w:sz w:val="32"/>
          <w:szCs w:val="20"/>
          <w:lang w:val="en-US" w:eastAsia="zh-CN"/>
        </w:rPr>
      </w:pPr>
      <w:bookmarkStart w:id="1" w:name="_Toc23459"/>
      <w:bookmarkStart w:id="2" w:name="_Toc1919"/>
      <w:bookmarkStart w:id="3" w:name="_Toc8305"/>
      <w:bookmarkStart w:id="4" w:name="_Toc17517"/>
      <w:bookmarkStart w:id="5" w:name="_Toc20426"/>
    </w:p>
    <w:p w14:paraId="6DCDCEE6">
      <w:pPr>
        <w:bidi w:val="0"/>
        <w:rPr>
          <w:rFonts w:hint="default" w:ascii="Times New Roman" w:hAnsi="Times New Roman" w:eastAsia="方正黑体_GBK" w:cs="Times New Roman"/>
          <w:sz w:val="32"/>
          <w:szCs w:val="20"/>
          <w:lang w:val="en-US" w:eastAsia="zh-CN"/>
        </w:rPr>
      </w:pPr>
    </w:p>
    <w:p w14:paraId="60CCE9FA">
      <w:pPr>
        <w:bidi w:val="0"/>
        <w:rPr>
          <w:rFonts w:hint="default" w:ascii="Times New Roman" w:hAnsi="Times New Roman" w:eastAsia="方正黑体_GBK" w:cs="Times New Roman"/>
          <w:sz w:val="32"/>
          <w:szCs w:val="20"/>
          <w:lang w:val="en-US" w:eastAsia="zh-CN"/>
        </w:rPr>
      </w:pPr>
    </w:p>
    <w:p w14:paraId="3AB08512">
      <w:pPr>
        <w:bidi w:val="0"/>
        <w:rPr>
          <w:rFonts w:hint="default" w:ascii="Times New Roman" w:hAnsi="Times New Roman" w:eastAsia="方正黑体_GBK" w:cs="Times New Roman"/>
          <w:sz w:val="32"/>
          <w:szCs w:val="20"/>
          <w:lang w:val="en-US" w:eastAsia="zh-CN"/>
        </w:rPr>
      </w:pPr>
    </w:p>
    <w:p w14:paraId="6D19CED2">
      <w:pPr>
        <w:bidi w:val="0"/>
        <w:rPr>
          <w:rFonts w:hint="default" w:ascii="Times New Roman" w:hAnsi="Times New Roman" w:eastAsia="方正黑体_GBK" w:cs="Times New Roman"/>
          <w:sz w:val="32"/>
          <w:szCs w:val="20"/>
          <w:lang w:val="en-US" w:eastAsia="zh-CN"/>
        </w:rPr>
      </w:pPr>
    </w:p>
    <w:p w14:paraId="527B1572">
      <w:pPr>
        <w:bidi w:val="0"/>
        <w:rPr>
          <w:rFonts w:hint="default" w:ascii="Times New Roman" w:hAnsi="Times New Roman" w:eastAsia="方正黑体_GBK" w:cs="Times New Roman"/>
          <w:sz w:val="32"/>
          <w:szCs w:val="20"/>
          <w:lang w:val="en-US" w:eastAsia="zh-CN"/>
        </w:rPr>
      </w:pPr>
    </w:p>
    <w:p w14:paraId="0928F854">
      <w:pPr>
        <w:bidi w:val="0"/>
        <w:rPr>
          <w:rFonts w:hint="default" w:ascii="Times New Roman" w:hAnsi="Times New Roman" w:eastAsia="方正黑体_GBK" w:cs="Times New Roman"/>
          <w:sz w:val="32"/>
          <w:szCs w:val="20"/>
          <w:lang w:val="en-US" w:eastAsia="zh-CN"/>
        </w:rPr>
      </w:pPr>
    </w:p>
    <w:p w14:paraId="57D47633">
      <w:pPr>
        <w:bidi w:val="0"/>
        <w:rPr>
          <w:rFonts w:hint="default" w:ascii="Times New Roman" w:hAnsi="Times New Roman" w:eastAsia="方正黑体_GBK" w:cs="Times New Roman"/>
          <w:sz w:val="32"/>
          <w:szCs w:val="20"/>
          <w:lang w:val="en-US" w:eastAsia="zh-CN"/>
        </w:rPr>
      </w:pPr>
    </w:p>
    <w:p w14:paraId="61B98E20">
      <w:pPr>
        <w:bidi w:val="0"/>
        <w:rPr>
          <w:rFonts w:hint="default" w:ascii="Times New Roman" w:hAnsi="Times New Roman" w:eastAsia="方正黑体_GBK" w:cs="Times New Roman"/>
          <w:sz w:val="32"/>
          <w:szCs w:val="20"/>
          <w:lang w:val="en-US" w:eastAsia="zh-CN"/>
        </w:rPr>
      </w:pPr>
    </w:p>
    <w:p w14:paraId="30947A37">
      <w:pPr>
        <w:bidi w:val="0"/>
        <w:rPr>
          <w:rFonts w:hint="default" w:ascii="Times New Roman" w:hAnsi="Times New Roman" w:eastAsia="方正仿宋_GBK" w:cs="Times New Roman"/>
          <w:sz w:val="32"/>
          <w:szCs w:val="20"/>
          <w:lang w:val="en-US" w:eastAsia="zh-CN"/>
        </w:rPr>
      </w:pPr>
      <w:r>
        <w:rPr>
          <w:rFonts w:hint="default" w:ascii="Times New Roman" w:hAnsi="Times New Roman" w:eastAsia="方正黑体_GBK" w:cs="Times New Roman"/>
          <w:sz w:val="32"/>
          <w:szCs w:val="20"/>
          <w:lang w:val="en-US" w:eastAsia="zh-CN"/>
        </w:rPr>
        <w:t>附件2</w:t>
      </w:r>
    </w:p>
    <w:bookmarkEnd w:id="1"/>
    <w:bookmarkEnd w:id="2"/>
    <w:bookmarkEnd w:id="3"/>
    <w:bookmarkEnd w:id="4"/>
    <w:bookmarkEnd w:id="5"/>
    <w:p w14:paraId="10B5B791">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rPr>
      </w:pPr>
      <w:bookmarkStart w:id="6" w:name="_Toc16716"/>
      <w:r>
        <w:rPr>
          <w:rFonts w:hint="eastAsia" w:ascii="方正小标宋_GBK" w:hAnsi="方正小标宋_GBK" w:eastAsia="方正小标宋_GBK" w:cs="方正小标宋_GBK"/>
          <w:sz w:val="44"/>
          <w:szCs w:val="24"/>
        </w:rPr>
        <w:t>重庆市大足区环境管控单元调整结果表（2023年）</w:t>
      </w:r>
    </w:p>
    <w:tbl>
      <w:tblPr>
        <w:tblStyle w:val="16"/>
        <w:tblW w:w="129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687"/>
        <w:gridCol w:w="7921"/>
        <w:gridCol w:w="2326"/>
      </w:tblGrid>
      <w:tr w14:paraId="68E4A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tblHeader/>
          <w:jc w:val="center"/>
        </w:trPr>
        <w:tc>
          <w:tcPr>
            <w:tcW w:w="2687" w:type="dxa"/>
            <w:noWrap w:val="0"/>
            <w:tcMar>
              <w:top w:w="9" w:type="dxa"/>
              <w:left w:w="9" w:type="dxa"/>
              <w:bottom w:w="0" w:type="dxa"/>
              <w:right w:w="9" w:type="dxa"/>
            </w:tcMar>
            <w:vAlign w:val="center"/>
          </w:tcPr>
          <w:p w14:paraId="261D8EE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环境管控单元编码</w:t>
            </w:r>
          </w:p>
        </w:tc>
        <w:tc>
          <w:tcPr>
            <w:tcW w:w="7921" w:type="dxa"/>
            <w:noWrap w:val="0"/>
            <w:tcMar>
              <w:top w:w="9" w:type="dxa"/>
              <w:left w:w="9" w:type="dxa"/>
              <w:bottom w:w="0" w:type="dxa"/>
              <w:right w:w="9" w:type="dxa"/>
            </w:tcMar>
            <w:vAlign w:val="center"/>
          </w:tcPr>
          <w:p w14:paraId="7E64127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环境管控单元名称</w:t>
            </w:r>
          </w:p>
        </w:tc>
        <w:tc>
          <w:tcPr>
            <w:tcW w:w="2326" w:type="dxa"/>
            <w:noWrap w:val="0"/>
            <w:tcMar>
              <w:top w:w="9" w:type="dxa"/>
              <w:left w:w="9" w:type="dxa"/>
              <w:bottom w:w="0" w:type="dxa"/>
              <w:right w:w="9" w:type="dxa"/>
            </w:tcMar>
            <w:vAlign w:val="center"/>
          </w:tcPr>
          <w:p w14:paraId="2726142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管控单元分类</w:t>
            </w:r>
          </w:p>
        </w:tc>
      </w:tr>
      <w:tr w14:paraId="31789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6A5AF1E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ZH50011110001</w:t>
            </w:r>
          </w:p>
        </w:tc>
        <w:tc>
          <w:tcPr>
            <w:tcW w:w="7921" w:type="dxa"/>
            <w:noWrap w:val="0"/>
            <w:tcMar>
              <w:top w:w="9" w:type="dxa"/>
              <w:left w:w="9" w:type="dxa"/>
              <w:bottom w:w="0" w:type="dxa"/>
              <w:right w:w="9" w:type="dxa"/>
            </w:tcMar>
            <w:vAlign w:val="center"/>
          </w:tcPr>
          <w:p w14:paraId="61E8054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大足区宝顶镇化龙水库大足区自来水</w:t>
            </w:r>
            <w:r>
              <w:rPr>
                <w:rFonts w:hint="default" w:ascii="Times New Roman" w:hAnsi="Times New Roman" w:eastAsia="方正仿宋_GBK" w:cs="Times New Roman"/>
                <w:sz w:val="24"/>
                <w:szCs w:val="24"/>
                <w:lang w:val="en-US" w:eastAsia="zh-CN"/>
              </w:rPr>
              <w:t>公司水源地</w:t>
            </w:r>
          </w:p>
        </w:tc>
        <w:tc>
          <w:tcPr>
            <w:tcW w:w="2326" w:type="dxa"/>
            <w:noWrap w:val="0"/>
            <w:tcMar>
              <w:top w:w="9" w:type="dxa"/>
              <w:left w:w="9" w:type="dxa"/>
              <w:bottom w:w="0" w:type="dxa"/>
              <w:right w:w="9" w:type="dxa"/>
            </w:tcMar>
            <w:vAlign w:val="center"/>
          </w:tcPr>
          <w:p w14:paraId="3B14080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优先保护单元1</w:t>
            </w:r>
          </w:p>
        </w:tc>
      </w:tr>
      <w:tr w14:paraId="45AF5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5C841D6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ZH50011110002</w:t>
            </w:r>
          </w:p>
        </w:tc>
        <w:tc>
          <w:tcPr>
            <w:tcW w:w="7921" w:type="dxa"/>
            <w:noWrap w:val="0"/>
            <w:tcMar>
              <w:top w:w="4" w:type="dxa"/>
              <w:left w:w="4" w:type="dxa"/>
              <w:bottom w:w="0" w:type="dxa"/>
              <w:right w:w="4" w:type="dxa"/>
            </w:tcMar>
            <w:vAlign w:val="center"/>
          </w:tcPr>
          <w:p w14:paraId="6B5D791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大足区龙岗街道濑溪河渝大水务公司</w:t>
            </w:r>
            <w:r>
              <w:rPr>
                <w:rFonts w:hint="default" w:ascii="Times New Roman" w:hAnsi="Times New Roman" w:eastAsia="方正仿宋_GBK" w:cs="Times New Roman"/>
                <w:sz w:val="24"/>
                <w:szCs w:val="24"/>
                <w:lang w:val="en-US" w:eastAsia="zh-CN"/>
              </w:rPr>
              <w:t>西门水厂水源地</w:t>
            </w:r>
          </w:p>
        </w:tc>
        <w:tc>
          <w:tcPr>
            <w:tcW w:w="2326" w:type="dxa"/>
            <w:noWrap w:val="0"/>
            <w:tcMar>
              <w:top w:w="9" w:type="dxa"/>
              <w:left w:w="9" w:type="dxa"/>
              <w:bottom w:w="0" w:type="dxa"/>
              <w:right w:w="9" w:type="dxa"/>
            </w:tcMar>
            <w:vAlign w:val="center"/>
          </w:tcPr>
          <w:p w14:paraId="3821555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优先保护单元2</w:t>
            </w:r>
          </w:p>
        </w:tc>
      </w:tr>
      <w:tr w14:paraId="0489D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02AAA3C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ZH50011110003</w:t>
            </w:r>
          </w:p>
        </w:tc>
        <w:tc>
          <w:tcPr>
            <w:tcW w:w="7921" w:type="dxa"/>
            <w:noWrap w:val="0"/>
            <w:tcMar>
              <w:top w:w="4" w:type="dxa"/>
              <w:left w:w="4" w:type="dxa"/>
              <w:bottom w:w="0" w:type="dxa"/>
              <w:right w:w="4" w:type="dxa"/>
            </w:tcMar>
            <w:vAlign w:val="center"/>
          </w:tcPr>
          <w:p w14:paraId="5AC250E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大足区中敖镇上游水库大足区自来水</w:t>
            </w:r>
            <w:r>
              <w:rPr>
                <w:rFonts w:hint="default" w:ascii="Times New Roman" w:hAnsi="Times New Roman" w:eastAsia="方正仿宋_GBK" w:cs="Times New Roman"/>
                <w:sz w:val="24"/>
                <w:szCs w:val="24"/>
                <w:lang w:val="en-US" w:eastAsia="zh-CN"/>
              </w:rPr>
              <w:t>公司水源地</w:t>
            </w:r>
          </w:p>
        </w:tc>
        <w:tc>
          <w:tcPr>
            <w:tcW w:w="2326" w:type="dxa"/>
            <w:noWrap w:val="0"/>
            <w:tcMar>
              <w:top w:w="9" w:type="dxa"/>
              <w:left w:w="9" w:type="dxa"/>
              <w:bottom w:w="0" w:type="dxa"/>
              <w:right w:w="9" w:type="dxa"/>
            </w:tcMar>
            <w:vAlign w:val="center"/>
          </w:tcPr>
          <w:p w14:paraId="018DF04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优先保护单元3</w:t>
            </w:r>
          </w:p>
        </w:tc>
      </w:tr>
      <w:tr w14:paraId="1FA4B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2F1A9CF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ZH50011110004</w:t>
            </w:r>
          </w:p>
        </w:tc>
        <w:tc>
          <w:tcPr>
            <w:tcW w:w="7921" w:type="dxa"/>
            <w:noWrap w:val="0"/>
            <w:tcMar>
              <w:top w:w="4" w:type="dxa"/>
              <w:left w:w="4" w:type="dxa"/>
              <w:bottom w:w="0" w:type="dxa"/>
              <w:right w:w="4" w:type="dxa"/>
            </w:tcMar>
            <w:vAlign w:val="center"/>
          </w:tcPr>
          <w:p w14:paraId="263B14D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大足区珠溪镇玉滩水库双路水厂水源</w:t>
            </w:r>
            <w:r>
              <w:rPr>
                <w:rFonts w:hint="default" w:ascii="Times New Roman" w:hAnsi="Times New Roman" w:eastAsia="方正仿宋_GBK" w:cs="Times New Roman"/>
                <w:sz w:val="24"/>
                <w:szCs w:val="24"/>
                <w:lang w:val="en-US" w:eastAsia="zh-CN"/>
              </w:rPr>
              <w:t>地</w:t>
            </w:r>
          </w:p>
        </w:tc>
        <w:tc>
          <w:tcPr>
            <w:tcW w:w="2326" w:type="dxa"/>
            <w:noWrap w:val="0"/>
            <w:tcMar>
              <w:top w:w="9" w:type="dxa"/>
              <w:left w:w="9" w:type="dxa"/>
              <w:bottom w:w="0" w:type="dxa"/>
              <w:right w:w="9" w:type="dxa"/>
            </w:tcMar>
            <w:vAlign w:val="center"/>
          </w:tcPr>
          <w:p w14:paraId="7787322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优先保护单元4</w:t>
            </w:r>
          </w:p>
        </w:tc>
      </w:tr>
      <w:tr w14:paraId="2AB68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1BFA296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ZH50011110005</w:t>
            </w:r>
          </w:p>
        </w:tc>
        <w:tc>
          <w:tcPr>
            <w:tcW w:w="7921" w:type="dxa"/>
            <w:noWrap w:val="0"/>
            <w:tcMar>
              <w:top w:w="4" w:type="dxa"/>
              <w:left w:w="4" w:type="dxa"/>
              <w:bottom w:w="0" w:type="dxa"/>
              <w:right w:w="4" w:type="dxa"/>
            </w:tcMar>
            <w:vAlign w:val="center"/>
          </w:tcPr>
          <w:p w14:paraId="1E49E8C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大足区西山桫椤县级自然保护区</w:t>
            </w:r>
          </w:p>
        </w:tc>
        <w:tc>
          <w:tcPr>
            <w:tcW w:w="2326" w:type="dxa"/>
            <w:noWrap w:val="0"/>
            <w:tcMar>
              <w:top w:w="9" w:type="dxa"/>
              <w:left w:w="9" w:type="dxa"/>
              <w:bottom w:w="0" w:type="dxa"/>
              <w:right w:w="9" w:type="dxa"/>
            </w:tcMar>
            <w:vAlign w:val="center"/>
          </w:tcPr>
          <w:p w14:paraId="5981F27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优先保护单元5</w:t>
            </w:r>
          </w:p>
        </w:tc>
      </w:tr>
      <w:tr w14:paraId="061CE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0E2CB00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ZH50011110006</w:t>
            </w:r>
          </w:p>
        </w:tc>
        <w:tc>
          <w:tcPr>
            <w:tcW w:w="7921" w:type="dxa"/>
            <w:noWrap w:val="0"/>
            <w:tcMar>
              <w:top w:w="4" w:type="dxa"/>
              <w:left w:w="4" w:type="dxa"/>
              <w:bottom w:w="0" w:type="dxa"/>
              <w:right w:w="4" w:type="dxa"/>
            </w:tcMar>
            <w:vAlign w:val="center"/>
          </w:tcPr>
          <w:p w14:paraId="56D970D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重庆玉龙山国家森林公园</w:t>
            </w:r>
          </w:p>
        </w:tc>
        <w:tc>
          <w:tcPr>
            <w:tcW w:w="2326" w:type="dxa"/>
            <w:noWrap w:val="0"/>
            <w:tcMar>
              <w:top w:w="9" w:type="dxa"/>
              <w:left w:w="9" w:type="dxa"/>
              <w:bottom w:w="0" w:type="dxa"/>
              <w:right w:w="9" w:type="dxa"/>
            </w:tcMar>
            <w:vAlign w:val="center"/>
          </w:tcPr>
          <w:p w14:paraId="64A4141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优先保护单元6</w:t>
            </w:r>
          </w:p>
        </w:tc>
      </w:tr>
      <w:tr w14:paraId="74E63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53F50E6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ZH50011110007</w:t>
            </w:r>
          </w:p>
        </w:tc>
        <w:tc>
          <w:tcPr>
            <w:tcW w:w="7921" w:type="dxa"/>
            <w:noWrap w:val="0"/>
            <w:tcMar>
              <w:top w:w="4" w:type="dxa"/>
              <w:left w:w="4" w:type="dxa"/>
              <w:bottom w:w="0" w:type="dxa"/>
              <w:right w:w="4" w:type="dxa"/>
            </w:tcMar>
            <w:vAlign w:val="center"/>
          </w:tcPr>
          <w:p w14:paraId="60A1471C">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重庆市白云寨市级森林公园</w:t>
            </w:r>
          </w:p>
        </w:tc>
        <w:tc>
          <w:tcPr>
            <w:tcW w:w="2326" w:type="dxa"/>
            <w:noWrap w:val="0"/>
            <w:tcMar>
              <w:top w:w="9" w:type="dxa"/>
              <w:left w:w="9" w:type="dxa"/>
              <w:bottom w:w="0" w:type="dxa"/>
              <w:right w:w="9" w:type="dxa"/>
            </w:tcMar>
            <w:vAlign w:val="center"/>
          </w:tcPr>
          <w:p w14:paraId="625FC26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优先保护单元7</w:t>
            </w:r>
          </w:p>
        </w:tc>
      </w:tr>
      <w:tr w14:paraId="4A1E1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149759F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ZH50011110008</w:t>
            </w:r>
          </w:p>
        </w:tc>
        <w:tc>
          <w:tcPr>
            <w:tcW w:w="7921" w:type="dxa"/>
            <w:noWrap w:val="0"/>
            <w:tcMar>
              <w:top w:w="4" w:type="dxa"/>
              <w:left w:w="4" w:type="dxa"/>
              <w:bottom w:w="0" w:type="dxa"/>
              <w:right w:w="4" w:type="dxa"/>
            </w:tcMar>
            <w:vAlign w:val="center"/>
          </w:tcPr>
          <w:p w14:paraId="5ECB00F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重庆市宝林寺市级森林公园</w:t>
            </w:r>
          </w:p>
        </w:tc>
        <w:tc>
          <w:tcPr>
            <w:tcW w:w="2326" w:type="dxa"/>
            <w:noWrap w:val="0"/>
            <w:tcMar>
              <w:top w:w="9" w:type="dxa"/>
              <w:left w:w="9" w:type="dxa"/>
              <w:bottom w:w="0" w:type="dxa"/>
              <w:right w:w="9" w:type="dxa"/>
            </w:tcMar>
            <w:vAlign w:val="center"/>
          </w:tcPr>
          <w:p w14:paraId="5D57D2D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优先保护单元8</w:t>
            </w:r>
          </w:p>
        </w:tc>
      </w:tr>
      <w:tr w14:paraId="3CDC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7CAADC4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ZH50011110009</w:t>
            </w:r>
          </w:p>
        </w:tc>
        <w:tc>
          <w:tcPr>
            <w:tcW w:w="7921" w:type="dxa"/>
            <w:noWrap w:val="0"/>
            <w:tcMar>
              <w:top w:w="4" w:type="dxa"/>
              <w:left w:w="4" w:type="dxa"/>
              <w:bottom w:w="0" w:type="dxa"/>
              <w:right w:w="4" w:type="dxa"/>
            </w:tcMar>
            <w:vAlign w:val="center"/>
          </w:tcPr>
          <w:p w14:paraId="7C6A338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重庆大足龙水湖湿地公园</w:t>
            </w:r>
          </w:p>
        </w:tc>
        <w:tc>
          <w:tcPr>
            <w:tcW w:w="2326" w:type="dxa"/>
            <w:noWrap w:val="0"/>
            <w:tcMar>
              <w:top w:w="9" w:type="dxa"/>
              <w:left w:w="9" w:type="dxa"/>
              <w:bottom w:w="0" w:type="dxa"/>
              <w:right w:w="9" w:type="dxa"/>
            </w:tcMar>
            <w:vAlign w:val="center"/>
          </w:tcPr>
          <w:p w14:paraId="5A1BDD9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优先保护单元9</w:t>
            </w:r>
          </w:p>
        </w:tc>
      </w:tr>
      <w:tr w14:paraId="42BDC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67728A8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ZH50011110010</w:t>
            </w:r>
          </w:p>
        </w:tc>
        <w:tc>
          <w:tcPr>
            <w:tcW w:w="7921" w:type="dxa"/>
            <w:noWrap w:val="0"/>
            <w:tcMar>
              <w:top w:w="4" w:type="dxa"/>
              <w:left w:w="4" w:type="dxa"/>
              <w:bottom w:w="0" w:type="dxa"/>
              <w:right w:w="4" w:type="dxa"/>
            </w:tcMar>
            <w:vAlign w:val="center"/>
          </w:tcPr>
          <w:p w14:paraId="5B7B451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大足区生态保护红线</w:t>
            </w:r>
          </w:p>
        </w:tc>
        <w:tc>
          <w:tcPr>
            <w:tcW w:w="2326" w:type="dxa"/>
            <w:noWrap w:val="0"/>
            <w:tcMar>
              <w:top w:w="9" w:type="dxa"/>
              <w:left w:w="9" w:type="dxa"/>
              <w:bottom w:w="0" w:type="dxa"/>
              <w:right w:w="9" w:type="dxa"/>
            </w:tcMar>
            <w:vAlign w:val="center"/>
          </w:tcPr>
          <w:p w14:paraId="3220D05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优先保护单元10</w:t>
            </w:r>
          </w:p>
        </w:tc>
      </w:tr>
      <w:tr w14:paraId="27AE8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44A38EA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ZH50011110011</w:t>
            </w:r>
          </w:p>
        </w:tc>
        <w:tc>
          <w:tcPr>
            <w:tcW w:w="7921" w:type="dxa"/>
            <w:noWrap w:val="0"/>
            <w:tcMar>
              <w:top w:w="4" w:type="dxa"/>
              <w:left w:w="4" w:type="dxa"/>
              <w:bottom w:w="0" w:type="dxa"/>
              <w:right w:w="4" w:type="dxa"/>
            </w:tcMar>
            <w:vAlign w:val="center"/>
          </w:tcPr>
          <w:p w14:paraId="221CACB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大足区一般生态空间</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水土保持</w:t>
            </w:r>
            <w:r>
              <w:rPr>
                <w:rFonts w:hint="default" w:ascii="Times New Roman" w:hAnsi="Times New Roman" w:eastAsia="方正仿宋_GBK" w:cs="Times New Roman"/>
                <w:sz w:val="24"/>
                <w:szCs w:val="24"/>
                <w:lang w:val="en-US" w:eastAsia="zh-CN"/>
              </w:rPr>
              <w:t>功能区</w:t>
            </w:r>
          </w:p>
        </w:tc>
        <w:tc>
          <w:tcPr>
            <w:tcW w:w="2326" w:type="dxa"/>
            <w:noWrap w:val="0"/>
            <w:tcMar>
              <w:top w:w="9" w:type="dxa"/>
              <w:left w:w="9" w:type="dxa"/>
              <w:bottom w:w="0" w:type="dxa"/>
              <w:right w:w="9" w:type="dxa"/>
            </w:tcMar>
            <w:vAlign w:val="center"/>
          </w:tcPr>
          <w:p w14:paraId="38A62FE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优先保护单元11</w:t>
            </w:r>
          </w:p>
        </w:tc>
      </w:tr>
      <w:tr w14:paraId="0B6F4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7847D19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ZH50011120001</w:t>
            </w:r>
          </w:p>
        </w:tc>
        <w:tc>
          <w:tcPr>
            <w:tcW w:w="7921" w:type="dxa"/>
            <w:noWrap w:val="0"/>
            <w:tcMar>
              <w:top w:w="4" w:type="dxa"/>
              <w:left w:w="4" w:type="dxa"/>
              <w:bottom w:w="0" w:type="dxa"/>
              <w:right w:w="4" w:type="dxa"/>
            </w:tcMar>
            <w:vAlign w:val="center"/>
          </w:tcPr>
          <w:p w14:paraId="3BB0ED2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大足区工业城镇重点管控单元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城区片区</w:t>
            </w:r>
          </w:p>
        </w:tc>
        <w:tc>
          <w:tcPr>
            <w:tcW w:w="2326" w:type="dxa"/>
            <w:noWrap w:val="0"/>
            <w:tcMar>
              <w:top w:w="9" w:type="dxa"/>
              <w:left w:w="9" w:type="dxa"/>
              <w:bottom w:w="0" w:type="dxa"/>
              <w:right w:w="9" w:type="dxa"/>
            </w:tcMar>
            <w:vAlign w:val="center"/>
          </w:tcPr>
          <w:p w14:paraId="406CDD0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重点管控单元1</w:t>
            </w:r>
          </w:p>
        </w:tc>
      </w:tr>
      <w:tr w14:paraId="1C53C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24DE623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ZH50011120002</w:t>
            </w:r>
          </w:p>
        </w:tc>
        <w:tc>
          <w:tcPr>
            <w:tcW w:w="7921" w:type="dxa"/>
            <w:noWrap w:val="0"/>
            <w:tcMar>
              <w:top w:w="4" w:type="dxa"/>
              <w:left w:w="4" w:type="dxa"/>
              <w:bottom w:w="0" w:type="dxa"/>
              <w:right w:w="4" w:type="dxa"/>
            </w:tcMar>
            <w:vAlign w:val="center"/>
          </w:tcPr>
          <w:p w14:paraId="0BCE66B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大足区工业城镇重点管控单元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万古片区</w:t>
            </w:r>
          </w:p>
        </w:tc>
        <w:tc>
          <w:tcPr>
            <w:tcW w:w="2326" w:type="dxa"/>
            <w:noWrap w:val="0"/>
            <w:tcMar>
              <w:top w:w="9" w:type="dxa"/>
              <w:left w:w="9" w:type="dxa"/>
              <w:bottom w:w="0" w:type="dxa"/>
              <w:right w:w="9" w:type="dxa"/>
            </w:tcMar>
            <w:vAlign w:val="center"/>
          </w:tcPr>
          <w:p w14:paraId="4F7477F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重点管控单元2</w:t>
            </w:r>
          </w:p>
        </w:tc>
      </w:tr>
      <w:tr w14:paraId="7EB7A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13237B5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ZH50011120003</w:t>
            </w:r>
          </w:p>
        </w:tc>
        <w:tc>
          <w:tcPr>
            <w:tcW w:w="7921" w:type="dxa"/>
            <w:noWrap w:val="0"/>
            <w:tcMar>
              <w:top w:w="4" w:type="dxa"/>
              <w:left w:w="4" w:type="dxa"/>
              <w:bottom w:w="0" w:type="dxa"/>
              <w:right w:w="4" w:type="dxa"/>
            </w:tcMar>
            <w:vAlign w:val="center"/>
          </w:tcPr>
          <w:p w14:paraId="4D4B2B9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大足区工业城镇重点管控单元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龙水片区</w:t>
            </w:r>
          </w:p>
        </w:tc>
        <w:tc>
          <w:tcPr>
            <w:tcW w:w="2326" w:type="dxa"/>
            <w:noWrap w:val="0"/>
            <w:tcMar>
              <w:top w:w="9" w:type="dxa"/>
              <w:left w:w="9" w:type="dxa"/>
              <w:bottom w:w="0" w:type="dxa"/>
              <w:right w:w="9" w:type="dxa"/>
            </w:tcMar>
            <w:vAlign w:val="center"/>
          </w:tcPr>
          <w:p w14:paraId="4A5515B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重点管控单元3</w:t>
            </w:r>
          </w:p>
        </w:tc>
      </w:tr>
      <w:tr w14:paraId="2B2E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49B3BE6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ZH50011120004</w:t>
            </w:r>
          </w:p>
        </w:tc>
        <w:tc>
          <w:tcPr>
            <w:tcW w:w="7921" w:type="dxa"/>
            <w:noWrap w:val="0"/>
            <w:tcMar>
              <w:top w:w="4" w:type="dxa"/>
              <w:left w:w="4" w:type="dxa"/>
              <w:bottom w:w="0" w:type="dxa"/>
              <w:right w:w="4" w:type="dxa"/>
            </w:tcMar>
            <w:vAlign w:val="center"/>
          </w:tcPr>
          <w:p w14:paraId="1DF750D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大足区工业城镇重点管控单元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三驱片区</w:t>
            </w:r>
          </w:p>
        </w:tc>
        <w:tc>
          <w:tcPr>
            <w:tcW w:w="2326" w:type="dxa"/>
            <w:noWrap w:val="0"/>
            <w:tcMar>
              <w:top w:w="9" w:type="dxa"/>
              <w:left w:w="9" w:type="dxa"/>
              <w:bottom w:w="0" w:type="dxa"/>
              <w:right w:w="9" w:type="dxa"/>
            </w:tcMar>
            <w:vAlign w:val="center"/>
          </w:tcPr>
          <w:p w14:paraId="0DDA9EB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重点管控单元4</w:t>
            </w:r>
          </w:p>
        </w:tc>
      </w:tr>
      <w:tr w14:paraId="3F48D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16A3CE2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ZH50011120005</w:t>
            </w:r>
          </w:p>
        </w:tc>
        <w:tc>
          <w:tcPr>
            <w:tcW w:w="7921" w:type="dxa"/>
            <w:noWrap w:val="0"/>
            <w:tcMar>
              <w:top w:w="4" w:type="dxa"/>
              <w:left w:w="4" w:type="dxa"/>
              <w:bottom w:w="0" w:type="dxa"/>
              <w:right w:w="4" w:type="dxa"/>
            </w:tcMar>
            <w:vAlign w:val="center"/>
          </w:tcPr>
          <w:p w14:paraId="3BB7EFE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大足区工业城镇重点管控单元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双桥片区</w:t>
            </w:r>
          </w:p>
        </w:tc>
        <w:tc>
          <w:tcPr>
            <w:tcW w:w="2326" w:type="dxa"/>
            <w:noWrap w:val="0"/>
            <w:tcMar>
              <w:top w:w="9" w:type="dxa"/>
              <w:left w:w="9" w:type="dxa"/>
              <w:bottom w:w="0" w:type="dxa"/>
              <w:right w:w="9" w:type="dxa"/>
            </w:tcMar>
            <w:vAlign w:val="center"/>
          </w:tcPr>
          <w:p w14:paraId="1267EAB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重点管控单元5</w:t>
            </w:r>
          </w:p>
        </w:tc>
      </w:tr>
      <w:tr w14:paraId="76AD0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379C872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ZH50011120006</w:t>
            </w:r>
          </w:p>
        </w:tc>
        <w:tc>
          <w:tcPr>
            <w:tcW w:w="7921" w:type="dxa"/>
            <w:noWrap w:val="0"/>
            <w:tcMar>
              <w:top w:w="4" w:type="dxa"/>
              <w:left w:w="4" w:type="dxa"/>
              <w:bottom w:w="0" w:type="dxa"/>
              <w:right w:w="4" w:type="dxa"/>
            </w:tcMar>
            <w:vAlign w:val="center"/>
          </w:tcPr>
          <w:p w14:paraId="1D18F8B8">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rPr>
              <w:t>大足区工业城镇重点管控单元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其他镇域片区</w:t>
            </w:r>
          </w:p>
        </w:tc>
        <w:tc>
          <w:tcPr>
            <w:tcW w:w="2326" w:type="dxa"/>
            <w:noWrap w:val="0"/>
            <w:tcMar>
              <w:top w:w="9" w:type="dxa"/>
              <w:left w:w="9" w:type="dxa"/>
              <w:bottom w:w="0" w:type="dxa"/>
              <w:right w:w="9" w:type="dxa"/>
            </w:tcMar>
            <w:vAlign w:val="center"/>
          </w:tcPr>
          <w:p w14:paraId="5636AB7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重点管控单元6</w:t>
            </w:r>
          </w:p>
        </w:tc>
      </w:tr>
      <w:tr w14:paraId="766AB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2EAC8F3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ZH50011120007</w:t>
            </w:r>
          </w:p>
        </w:tc>
        <w:tc>
          <w:tcPr>
            <w:tcW w:w="7921" w:type="dxa"/>
            <w:noWrap w:val="0"/>
            <w:tcMar>
              <w:top w:w="4" w:type="dxa"/>
              <w:left w:w="4" w:type="dxa"/>
              <w:bottom w:w="0" w:type="dxa"/>
              <w:right w:w="4" w:type="dxa"/>
            </w:tcMar>
            <w:vAlign w:val="center"/>
          </w:tcPr>
          <w:p w14:paraId="2D186623">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淮远河玉峡渡口</w:t>
            </w:r>
          </w:p>
        </w:tc>
        <w:tc>
          <w:tcPr>
            <w:tcW w:w="2326" w:type="dxa"/>
            <w:noWrap w:val="0"/>
            <w:tcMar>
              <w:top w:w="9" w:type="dxa"/>
              <w:left w:w="9" w:type="dxa"/>
              <w:bottom w:w="0" w:type="dxa"/>
              <w:right w:w="9" w:type="dxa"/>
            </w:tcMar>
            <w:vAlign w:val="center"/>
          </w:tcPr>
          <w:p w14:paraId="533A1AD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重点管控单元7</w:t>
            </w:r>
          </w:p>
        </w:tc>
      </w:tr>
      <w:tr w14:paraId="6CF72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6CA4BDF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ZH50011120008</w:t>
            </w:r>
          </w:p>
        </w:tc>
        <w:tc>
          <w:tcPr>
            <w:tcW w:w="7921" w:type="dxa"/>
            <w:noWrap w:val="0"/>
            <w:tcMar>
              <w:top w:w="4" w:type="dxa"/>
              <w:left w:w="4" w:type="dxa"/>
              <w:bottom w:w="0" w:type="dxa"/>
              <w:right w:w="4" w:type="dxa"/>
            </w:tcMar>
            <w:vAlign w:val="center"/>
          </w:tcPr>
          <w:p w14:paraId="2C932C8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濑溪河玉滩水库</w:t>
            </w:r>
          </w:p>
        </w:tc>
        <w:tc>
          <w:tcPr>
            <w:tcW w:w="2326" w:type="dxa"/>
            <w:noWrap w:val="0"/>
            <w:tcMar>
              <w:top w:w="9" w:type="dxa"/>
              <w:left w:w="9" w:type="dxa"/>
              <w:bottom w:w="0" w:type="dxa"/>
              <w:right w:w="9" w:type="dxa"/>
            </w:tcMar>
            <w:vAlign w:val="center"/>
          </w:tcPr>
          <w:p w14:paraId="378DA0D2">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重点管控单元8</w:t>
            </w:r>
          </w:p>
        </w:tc>
      </w:tr>
      <w:tr w14:paraId="0100B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07F8937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ZH50011120009</w:t>
            </w:r>
          </w:p>
        </w:tc>
        <w:tc>
          <w:tcPr>
            <w:tcW w:w="7921" w:type="dxa"/>
            <w:noWrap w:val="0"/>
            <w:tcMar>
              <w:top w:w="4" w:type="dxa"/>
              <w:left w:w="4" w:type="dxa"/>
              <w:bottom w:w="0" w:type="dxa"/>
              <w:right w:w="4" w:type="dxa"/>
            </w:tcMar>
            <w:vAlign w:val="center"/>
          </w:tcPr>
          <w:p w14:paraId="5DE6491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大足区重点管控单元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太平河漫水桥</w:t>
            </w:r>
          </w:p>
        </w:tc>
        <w:tc>
          <w:tcPr>
            <w:tcW w:w="2326" w:type="dxa"/>
            <w:noWrap w:val="0"/>
            <w:tcMar>
              <w:top w:w="9" w:type="dxa"/>
              <w:left w:w="9" w:type="dxa"/>
              <w:bottom w:w="0" w:type="dxa"/>
              <w:right w:w="9" w:type="dxa"/>
            </w:tcMar>
            <w:vAlign w:val="center"/>
          </w:tcPr>
          <w:p w14:paraId="731C166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重点管控单元9</w:t>
            </w:r>
          </w:p>
        </w:tc>
      </w:tr>
      <w:tr w14:paraId="7F9FE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1FE11D7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ZH50011130001</w:t>
            </w:r>
          </w:p>
        </w:tc>
        <w:tc>
          <w:tcPr>
            <w:tcW w:w="7921" w:type="dxa"/>
            <w:noWrap w:val="0"/>
            <w:tcMar>
              <w:top w:w="4" w:type="dxa"/>
              <w:left w:w="4" w:type="dxa"/>
              <w:bottom w:w="0" w:type="dxa"/>
              <w:right w:w="4" w:type="dxa"/>
            </w:tcMar>
            <w:vAlign w:val="center"/>
          </w:tcPr>
          <w:p w14:paraId="2A447AD1">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大足区一般管控单元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窟窿河宝兴</w:t>
            </w:r>
          </w:p>
        </w:tc>
        <w:tc>
          <w:tcPr>
            <w:tcW w:w="2326" w:type="dxa"/>
            <w:noWrap w:val="0"/>
            <w:tcMar>
              <w:top w:w="9" w:type="dxa"/>
              <w:left w:w="9" w:type="dxa"/>
              <w:bottom w:w="0" w:type="dxa"/>
              <w:right w:w="9" w:type="dxa"/>
            </w:tcMar>
            <w:vAlign w:val="center"/>
          </w:tcPr>
          <w:p w14:paraId="7394569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一般管控单元1</w:t>
            </w:r>
          </w:p>
        </w:tc>
      </w:tr>
      <w:tr w14:paraId="4F2F0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30E954F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ZH50011130002</w:t>
            </w:r>
          </w:p>
        </w:tc>
        <w:tc>
          <w:tcPr>
            <w:tcW w:w="7921" w:type="dxa"/>
            <w:noWrap w:val="0"/>
            <w:tcMar>
              <w:top w:w="4" w:type="dxa"/>
              <w:left w:w="4" w:type="dxa"/>
              <w:bottom w:w="0" w:type="dxa"/>
              <w:right w:w="4" w:type="dxa"/>
            </w:tcMar>
            <w:vAlign w:val="center"/>
          </w:tcPr>
          <w:p w14:paraId="5A0C29C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大足区一般管控单元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濑溪河化龙水库</w:t>
            </w:r>
          </w:p>
        </w:tc>
        <w:tc>
          <w:tcPr>
            <w:tcW w:w="2326" w:type="dxa"/>
            <w:noWrap w:val="0"/>
            <w:tcMar>
              <w:top w:w="9" w:type="dxa"/>
              <w:left w:w="9" w:type="dxa"/>
              <w:bottom w:w="0" w:type="dxa"/>
              <w:right w:w="9" w:type="dxa"/>
            </w:tcMar>
            <w:vAlign w:val="center"/>
          </w:tcPr>
          <w:p w14:paraId="12C3906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一般管控单元2</w:t>
            </w:r>
          </w:p>
        </w:tc>
      </w:tr>
      <w:tr w14:paraId="4C82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6DFE373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ZH50011130003</w:t>
            </w:r>
          </w:p>
        </w:tc>
        <w:tc>
          <w:tcPr>
            <w:tcW w:w="7921" w:type="dxa"/>
            <w:noWrap w:val="0"/>
            <w:tcMar>
              <w:top w:w="4" w:type="dxa"/>
              <w:left w:w="4" w:type="dxa"/>
              <w:bottom w:w="0" w:type="dxa"/>
              <w:right w:w="4" w:type="dxa"/>
            </w:tcMar>
            <w:vAlign w:val="center"/>
          </w:tcPr>
          <w:p w14:paraId="701E6D2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大足区一般管控单元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濑溪河上游水库</w:t>
            </w:r>
          </w:p>
        </w:tc>
        <w:tc>
          <w:tcPr>
            <w:tcW w:w="2326" w:type="dxa"/>
            <w:noWrap w:val="0"/>
            <w:tcMar>
              <w:top w:w="9" w:type="dxa"/>
              <w:left w:w="9" w:type="dxa"/>
              <w:bottom w:w="0" w:type="dxa"/>
              <w:right w:w="9" w:type="dxa"/>
            </w:tcMar>
            <w:vAlign w:val="center"/>
          </w:tcPr>
          <w:p w14:paraId="255B493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一般管控单元3</w:t>
            </w:r>
          </w:p>
        </w:tc>
      </w:tr>
      <w:tr w14:paraId="2FE1F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2687" w:type="dxa"/>
            <w:noWrap w:val="0"/>
            <w:tcMar>
              <w:top w:w="9" w:type="dxa"/>
              <w:left w:w="9" w:type="dxa"/>
              <w:bottom w:w="0" w:type="dxa"/>
              <w:right w:w="9" w:type="dxa"/>
            </w:tcMar>
            <w:vAlign w:val="center"/>
          </w:tcPr>
          <w:p w14:paraId="3FCD6DD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ZH50011130004</w:t>
            </w:r>
          </w:p>
        </w:tc>
        <w:tc>
          <w:tcPr>
            <w:tcW w:w="7921" w:type="dxa"/>
            <w:noWrap w:val="0"/>
            <w:tcMar>
              <w:top w:w="4" w:type="dxa"/>
              <w:left w:w="4" w:type="dxa"/>
              <w:bottom w:w="0" w:type="dxa"/>
              <w:right w:w="4" w:type="dxa"/>
            </w:tcMar>
            <w:vAlign w:val="center"/>
          </w:tcPr>
          <w:p w14:paraId="101F201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大足区一般管控单元</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珠溪河界牌</w:t>
            </w:r>
          </w:p>
        </w:tc>
        <w:tc>
          <w:tcPr>
            <w:tcW w:w="2326" w:type="dxa"/>
            <w:noWrap w:val="0"/>
            <w:tcMar>
              <w:top w:w="9" w:type="dxa"/>
              <w:left w:w="9" w:type="dxa"/>
              <w:bottom w:w="0" w:type="dxa"/>
              <w:right w:w="9" w:type="dxa"/>
            </w:tcMar>
            <w:vAlign w:val="center"/>
          </w:tcPr>
          <w:p w14:paraId="05B9DD2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一般管控单元4</w:t>
            </w:r>
          </w:p>
        </w:tc>
      </w:tr>
    </w:tbl>
    <w:p w14:paraId="0A13C184">
      <w:pPr>
        <w:adjustRightInd w:val="0"/>
        <w:ind w:firstLine="0" w:firstLineChars="0"/>
        <w:jc w:val="center"/>
        <w:outlineLvl w:val="9"/>
        <w:rPr>
          <w:rFonts w:hint="default" w:ascii="Times New Roman" w:hAnsi="Times New Roman" w:eastAsia="方正仿宋_GBK" w:cs="Times New Roman"/>
          <w:b/>
          <w:bCs/>
          <w:color w:val="auto"/>
          <w:sz w:val="32"/>
          <w:szCs w:val="32"/>
        </w:rPr>
      </w:pPr>
    </w:p>
    <w:p w14:paraId="6465336E">
      <w:pPr>
        <w:pStyle w:val="3"/>
        <w:rPr>
          <w:rFonts w:hint="default" w:ascii="Times New Roman" w:hAnsi="Times New Roman" w:cs="Times New Roman"/>
          <w:b/>
          <w:bCs/>
          <w:color w:val="auto"/>
          <w:szCs w:val="32"/>
        </w:rPr>
      </w:pPr>
    </w:p>
    <w:p w14:paraId="4097697B">
      <w:pPr>
        <w:bidi w:val="0"/>
        <w:rPr>
          <w:rFonts w:hint="default" w:ascii="Times New Roman" w:hAnsi="Times New Roman" w:eastAsia="方正黑体_GBK" w:cs="Times New Roman"/>
          <w:sz w:val="32"/>
          <w:szCs w:val="20"/>
          <w:lang w:val="en-US" w:eastAsia="zh-CN"/>
        </w:rPr>
      </w:pPr>
      <w:bookmarkStart w:id="7" w:name="_Toc7406"/>
      <w:bookmarkStart w:id="8" w:name="_Toc24043"/>
      <w:bookmarkStart w:id="9" w:name="_Toc6676"/>
    </w:p>
    <w:p w14:paraId="565CFCD3">
      <w:pPr>
        <w:bidi w:val="0"/>
        <w:rPr>
          <w:rFonts w:hint="default" w:ascii="Times New Roman" w:hAnsi="Times New Roman" w:eastAsia="方正黑体_GBK" w:cs="Times New Roman"/>
          <w:sz w:val="32"/>
          <w:szCs w:val="20"/>
          <w:lang w:val="en-US" w:eastAsia="zh-CN"/>
        </w:rPr>
      </w:pPr>
    </w:p>
    <w:p w14:paraId="00288E08">
      <w:pPr>
        <w:bidi w:val="0"/>
        <w:rPr>
          <w:rFonts w:hint="default" w:ascii="Times New Roman" w:hAnsi="Times New Roman" w:eastAsia="方正黑体_GBK" w:cs="Times New Roman"/>
          <w:sz w:val="32"/>
          <w:szCs w:val="20"/>
          <w:lang w:val="en-US" w:eastAsia="zh-CN"/>
        </w:rPr>
      </w:pPr>
    </w:p>
    <w:p w14:paraId="27496661">
      <w:pPr>
        <w:bidi w:val="0"/>
        <w:rPr>
          <w:rFonts w:hint="default" w:ascii="Times New Roman" w:hAnsi="Times New Roman" w:eastAsia="方正仿宋_GBK" w:cs="Times New Roman"/>
          <w:sz w:val="32"/>
          <w:szCs w:val="20"/>
          <w:lang w:val="en-US" w:eastAsia="zh-CN"/>
        </w:rPr>
      </w:pPr>
      <w:r>
        <w:rPr>
          <w:rFonts w:hint="default" w:ascii="Times New Roman" w:hAnsi="Times New Roman" w:eastAsia="方正黑体_GBK" w:cs="Times New Roman"/>
          <w:sz w:val="32"/>
          <w:szCs w:val="20"/>
          <w:lang w:val="en-US" w:eastAsia="zh-CN"/>
        </w:rPr>
        <w:t>附件3</w:t>
      </w:r>
    </w:p>
    <w:bookmarkEnd w:id="7"/>
    <w:bookmarkEnd w:id="8"/>
    <w:bookmarkEnd w:id="9"/>
    <w:p w14:paraId="3D28B6DF">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rPr>
      </w:pPr>
      <w:bookmarkStart w:id="10" w:name="_Toc14334"/>
      <w:bookmarkStart w:id="11" w:name="_Toc7180"/>
      <w:bookmarkStart w:id="12" w:name="_Toc23413"/>
      <w:r>
        <w:rPr>
          <w:rFonts w:hint="eastAsia" w:ascii="方正小标宋_GBK" w:hAnsi="方正小标宋_GBK" w:eastAsia="方正小标宋_GBK" w:cs="方正小标宋_GBK"/>
          <w:sz w:val="44"/>
          <w:szCs w:val="24"/>
        </w:rPr>
        <w:t>重庆市大足区生态环境准入清单总体管控要求（2023年）</w:t>
      </w:r>
    </w:p>
    <w:tbl>
      <w:tblPr>
        <w:tblStyle w:val="16"/>
        <w:tblW w:w="12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9"/>
        <w:gridCol w:w="10638"/>
      </w:tblGrid>
      <w:tr w14:paraId="54105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2" w:hRule="atLeast"/>
          <w:tblHeader/>
          <w:jc w:val="center"/>
        </w:trPr>
        <w:tc>
          <w:tcPr>
            <w:tcW w:w="1639" w:type="dxa"/>
            <w:tcBorders>
              <w:top w:val="single" w:color="auto" w:sz="4" w:space="0"/>
              <w:left w:val="single" w:color="auto" w:sz="4" w:space="0"/>
              <w:right w:val="single" w:color="auto" w:sz="4" w:space="0"/>
            </w:tcBorders>
            <w:noWrap w:val="0"/>
            <w:vAlign w:val="center"/>
          </w:tcPr>
          <w:p w14:paraId="7DB3C26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管控类型</w:t>
            </w:r>
          </w:p>
        </w:tc>
        <w:tc>
          <w:tcPr>
            <w:tcW w:w="10638" w:type="dxa"/>
            <w:tcBorders>
              <w:top w:val="single" w:color="auto" w:sz="4" w:space="0"/>
              <w:left w:val="single" w:color="auto" w:sz="4" w:space="0"/>
              <w:right w:val="single" w:color="auto" w:sz="4" w:space="0"/>
            </w:tcBorders>
            <w:noWrap w:val="0"/>
            <w:vAlign w:val="center"/>
          </w:tcPr>
          <w:p w14:paraId="516B0B6E">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ascii="方正黑体_GBK" w:hAnsi="方正黑体_GBK" w:eastAsia="方正黑体_GBK" w:cs="方正黑体_GBK"/>
                <w:sz w:val="24"/>
                <w:szCs w:val="24"/>
              </w:rPr>
            </w:pPr>
            <w:r>
              <w:rPr>
                <w:rFonts w:hint="eastAsia" w:ascii="方正黑体_GBK" w:hAnsi="方正黑体_GBK" w:eastAsia="方正黑体_GBK" w:cs="方正黑体_GBK"/>
                <w:sz w:val="24"/>
                <w:szCs w:val="24"/>
              </w:rPr>
              <w:t>总体管控要求</w:t>
            </w:r>
          </w:p>
        </w:tc>
      </w:tr>
      <w:tr w14:paraId="59D61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8" w:hRule="atLeast"/>
          <w:jc w:val="center"/>
        </w:trPr>
        <w:tc>
          <w:tcPr>
            <w:tcW w:w="1639" w:type="dxa"/>
            <w:vMerge w:val="restart"/>
            <w:tcBorders>
              <w:left w:val="single" w:color="auto" w:sz="4" w:space="0"/>
              <w:right w:val="single" w:color="auto" w:sz="4" w:space="0"/>
            </w:tcBorders>
            <w:noWrap w:val="0"/>
            <w:vAlign w:val="center"/>
          </w:tcPr>
          <w:p w14:paraId="3BAA02E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空间布</w:t>
            </w:r>
          </w:p>
          <w:p w14:paraId="650C0658">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局约束</w:t>
            </w:r>
          </w:p>
        </w:tc>
        <w:tc>
          <w:tcPr>
            <w:tcW w:w="10638" w:type="dxa"/>
            <w:tcBorders>
              <w:left w:val="single" w:color="auto" w:sz="4" w:space="0"/>
              <w:bottom w:val="single" w:color="auto" w:sz="4" w:space="0"/>
              <w:right w:val="single" w:color="auto" w:sz="4" w:space="0"/>
            </w:tcBorders>
            <w:noWrap w:val="0"/>
            <w:vAlign w:val="center"/>
          </w:tcPr>
          <w:p w14:paraId="2ADC3BC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第一条  执行重点管控单元市级总体管控要求第一条、第四条、第六条、第七条。</w:t>
            </w:r>
          </w:p>
        </w:tc>
      </w:tr>
      <w:tr w14:paraId="0935F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639" w:type="dxa"/>
            <w:vMerge w:val="continue"/>
            <w:tcBorders>
              <w:left w:val="single" w:color="auto" w:sz="4" w:space="0"/>
              <w:right w:val="single" w:color="auto" w:sz="4" w:space="0"/>
            </w:tcBorders>
            <w:noWrap w:val="0"/>
            <w:vAlign w:val="center"/>
          </w:tcPr>
          <w:p w14:paraId="0B6C754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left w:val="single" w:color="auto" w:sz="4" w:space="0"/>
              <w:bottom w:val="single" w:color="auto" w:sz="4" w:space="0"/>
              <w:right w:val="single" w:color="auto" w:sz="4" w:space="0"/>
            </w:tcBorders>
            <w:noWrap w:val="0"/>
            <w:vAlign w:val="center"/>
          </w:tcPr>
          <w:p w14:paraId="5ECE5A0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第二条  禁止在长江干支流、重要湖泊岸线一公里范围内新建、扩建化工园区和化工项目。新建、改建、扩建</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两高</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项目须符合生态环境保护法律法规和相关法定规划，满足重点污染物排放总量控制、碳排放达峰目标、生态环境准入清单、相关规划环评和相应行业建设项目环境准入条件、环评文件审批原则要求。</w:t>
            </w:r>
          </w:p>
        </w:tc>
      </w:tr>
      <w:tr w14:paraId="6E979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5" w:hRule="atLeast"/>
          <w:jc w:val="center"/>
        </w:trPr>
        <w:tc>
          <w:tcPr>
            <w:tcW w:w="1639" w:type="dxa"/>
            <w:vMerge w:val="continue"/>
            <w:tcBorders>
              <w:left w:val="single" w:color="auto" w:sz="4" w:space="0"/>
              <w:right w:val="single" w:color="auto" w:sz="4" w:space="0"/>
            </w:tcBorders>
            <w:noWrap w:val="0"/>
            <w:vAlign w:val="center"/>
          </w:tcPr>
          <w:p w14:paraId="793279F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left w:val="single" w:color="auto" w:sz="4" w:space="0"/>
              <w:bottom w:val="single" w:color="auto" w:sz="4" w:space="0"/>
              <w:right w:val="single" w:color="auto" w:sz="4" w:space="0"/>
            </w:tcBorders>
            <w:noWrap w:val="0"/>
            <w:vAlign w:val="center"/>
          </w:tcPr>
          <w:p w14:paraId="067AC01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第三条  新建、扩建的</w:t>
            </w:r>
            <w:r>
              <w:rPr>
                <w:rFonts w:hint="default" w:ascii="Times New Roman" w:hAnsi="Times New Roman" w:eastAsia="方正仿宋_GBK" w:cs="Times New Roman"/>
                <w:sz w:val="24"/>
                <w:szCs w:val="24"/>
                <w:lang w:eastAsia="zh-CN"/>
              </w:rPr>
              <w:t>重</w:t>
            </w:r>
            <w:r>
              <w:rPr>
                <w:rFonts w:hint="default" w:ascii="Times New Roman" w:hAnsi="Times New Roman" w:eastAsia="方正仿宋_GBK" w:cs="Times New Roman"/>
                <w:sz w:val="24"/>
                <w:szCs w:val="24"/>
              </w:rPr>
              <w:t>有色金属冶炼、电镀企业优先选择布设在依法合规设立并经规划环评的产业园区。在国家</w:t>
            </w:r>
            <w:r>
              <w:rPr>
                <w:rFonts w:hint="default" w:ascii="Times New Roman" w:hAnsi="Times New Roman" w:eastAsia="方正仿宋_GBK" w:cs="Times New Roman"/>
                <w:sz w:val="24"/>
                <w:szCs w:val="24"/>
                <w:lang w:eastAsia="zh-CN"/>
              </w:rPr>
              <w:t>法律法规</w:t>
            </w:r>
            <w:r>
              <w:rPr>
                <w:rFonts w:hint="default" w:ascii="Times New Roman" w:hAnsi="Times New Roman" w:eastAsia="方正仿宋_GBK" w:cs="Times New Roman"/>
                <w:sz w:val="24"/>
                <w:szCs w:val="24"/>
              </w:rPr>
              <w:t>、行政规章及规划确定或县级以上人民政府批准的饮用水水源保护区、基本农田保护区、自然保护区、风景名胜区、生态功能保护区等需要特殊保护的地区，大中城市及其近郊，居民集中区、疗养地、医院周边1km内不得新建再生铅企业。</w:t>
            </w:r>
          </w:p>
        </w:tc>
      </w:tr>
      <w:tr w14:paraId="72413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7" w:hRule="atLeast"/>
          <w:jc w:val="center"/>
        </w:trPr>
        <w:tc>
          <w:tcPr>
            <w:tcW w:w="1639" w:type="dxa"/>
            <w:vMerge w:val="continue"/>
            <w:tcBorders>
              <w:left w:val="single" w:color="auto" w:sz="4" w:space="0"/>
              <w:right w:val="single" w:color="auto" w:sz="4" w:space="0"/>
            </w:tcBorders>
            <w:noWrap w:val="0"/>
            <w:vAlign w:val="center"/>
          </w:tcPr>
          <w:p w14:paraId="443D31E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left w:val="single" w:color="auto" w:sz="4" w:space="0"/>
              <w:bottom w:val="single" w:color="auto" w:sz="4" w:space="0"/>
              <w:right w:val="single" w:color="auto" w:sz="4" w:space="0"/>
            </w:tcBorders>
            <w:noWrap w:val="0"/>
            <w:vAlign w:val="center"/>
          </w:tcPr>
          <w:p w14:paraId="49D4345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第四条  禁止在合规园区外新建、扩建化工、建材、有色等高污染项目，禁止新建、扩建不符合国家石化、现代煤化工等产业规划布局的项目。</w:t>
            </w:r>
            <w:r>
              <w:rPr>
                <w:rFonts w:hint="default" w:ascii="Times New Roman" w:hAnsi="Times New Roman" w:eastAsia="方正仿宋_GBK" w:cs="Times New Roman"/>
                <w:sz w:val="24"/>
                <w:szCs w:val="24"/>
                <w:lang w:val="en-US" w:eastAsia="zh-CN"/>
              </w:rPr>
              <w:t>鼓励</w:t>
            </w:r>
            <w:r>
              <w:rPr>
                <w:rFonts w:hint="default" w:ascii="Times New Roman" w:hAnsi="Times New Roman" w:eastAsia="方正仿宋_GBK" w:cs="Times New Roman"/>
                <w:sz w:val="24"/>
                <w:szCs w:val="24"/>
              </w:rPr>
              <w:t>园区外的</w:t>
            </w:r>
            <w:r>
              <w:rPr>
                <w:rFonts w:hint="default" w:ascii="Times New Roman" w:hAnsi="Times New Roman" w:eastAsia="方正仿宋_GBK" w:cs="Times New Roman"/>
                <w:sz w:val="24"/>
                <w:szCs w:val="24"/>
                <w:lang w:val="en-US" w:eastAsia="zh-CN"/>
              </w:rPr>
              <w:t>现有</w:t>
            </w:r>
            <w:r>
              <w:rPr>
                <w:rFonts w:hint="default" w:ascii="Times New Roman" w:hAnsi="Times New Roman" w:eastAsia="方正仿宋_GBK" w:cs="Times New Roman"/>
                <w:sz w:val="24"/>
                <w:szCs w:val="24"/>
              </w:rPr>
              <w:t>锶盐化工企业逐步搬迁进入锶盐新材料产业园。</w:t>
            </w:r>
          </w:p>
        </w:tc>
      </w:tr>
      <w:tr w14:paraId="32FFF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1639" w:type="dxa"/>
            <w:vMerge w:val="continue"/>
            <w:tcBorders>
              <w:left w:val="single" w:color="auto" w:sz="4" w:space="0"/>
              <w:right w:val="single" w:color="auto" w:sz="4" w:space="0"/>
            </w:tcBorders>
            <w:noWrap w:val="0"/>
            <w:vAlign w:val="center"/>
          </w:tcPr>
          <w:p w14:paraId="63834AF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left w:val="single" w:color="auto" w:sz="4" w:space="0"/>
              <w:bottom w:val="single" w:color="auto" w:sz="4" w:space="0"/>
              <w:right w:val="single" w:color="auto" w:sz="4" w:space="0"/>
            </w:tcBorders>
            <w:noWrap w:val="0"/>
            <w:vAlign w:val="center"/>
          </w:tcPr>
          <w:p w14:paraId="2E273F9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第五条  工业园区应严格环境准入和空间管控要求，环境敏感目标邻近区域应避免新布局大气污染严重及可能会产生异味扰民的工业项目。</w:t>
            </w:r>
          </w:p>
        </w:tc>
      </w:tr>
      <w:tr w14:paraId="51A86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1639" w:type="dxa"/>
            <w:vMerge w:val="restart"/>
            <w:tcBorders>
              <w:left w:val="single" w:color="auto" w:sz="4" w:space="0"/>
              <w:right w:val="single" w:color="auto" w:sz="4" w:space="0"/>
            </w:tcBorders>
            <w:noWrap w:val="0"/>
            <w:vAlign w:val="center"/>
          </w:tcPr>
          <w:p w14:paraId="7E2304F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污染物</w:t>
            </w:r>
          </w:p>
          <w:p w14:paraId="75B5943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排放管控</w:t>
            </w:r>
          </w:p>
        </w:tc>
        <w:tc>
          <w:tcPr>
            <w:tcW w:w="10638" w:type="dxa"/>
            <w:tcBorders>
              <w:top w:val="single" w:color="auto" w:sz="4" w:space="0"/>
              <w:left w:val="single" w:color="auto" w:sz="4" w:space="0"/>
              <w:right w:val="single" w:color="auto" w:sz="4" w:space="0"/>
            </w:tcBorders>
            <w:noWrap w:val="0"/>
            <w:vAlign w:val="center"/>
          </w:tcPr>
          <w:p w14:paraId="67F245CA">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第六条  执行重点管控单元市级总体管控要求第十一条、第十四条、第十五条。</w:t>
            </w:r>
          </w:p>
        </w:tc>
      </w:tr>
      <w:tr w14:paraId="51BE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7" w:hRule="atLeast"/>
          <w:jc w:val="center"/>
        </w:trPr>
        <w:tc>
          <w:tcPr>
            <w:tcW w:w="1639" w:type="dxa"/>
            <w:vMerge w:val="continue"/>
            <w:tcBorders>
              <w:left w:val="single" w:color="auto" w:sz="4" w:space="0"/>
              <w:right w:val="single" w:color="auto" w:sz="4" w:space="0"/>
            </w:tcBorders>
            <w:noWrap w:val="0"/>
            <w:vAlign w:val="center"/>
          </w:tcPr>
          <w:p w14:paraId="6656BCE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48C080C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第七条  严格按照国家及我市有关规定，对水泥熟料、电解铝等行业新建、扩建项目实行产能等量或减量置换。国家或地方已出台超低排放要求的</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两高</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行业建设项目应满足超低排放要求。</w:t>
            </w:r>
          </w:p>
        </w:tc>
      </w:tr>
      <w:tr w14:paraId="52EAD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continue"/>
            <w:tcBorders>
              <w:left w:val="single" w:color="auto" w:sz="4" w:space="0"/>
              <w:right w:val="single" w:color="auto" w:sz="4" w:space="0"/>
            </w:tcBorders>
            <w:noWrap w:val="0"/>
            <w:vAlign w:val="center"/>
          </w:tcPr>
          <w:p w14:paraId="1C53EF9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617F7E9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第八条  在重点行业（石化、化工、工业涂装、包装印刷、油品储运销等）推进挥发性有机物综合治理，推动低挥发性有机物原辅材料和产品源头替代，推广使用低挥发性有机物含量产品，推动纳入政府绿色采购名录。</w:t>
            </w:r>
          </w:p>
        </w:tc>
      </w:tr>
      <w:tr w14:paraId="2C123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restart"/>
            <w:tcBorders>
              <w:left w:val="single" w:color="auto" w:sz="4" w:space="0"/>
              <w:right w:val="single" w:color="auto" w:sz="4" w:space="0"/>
            </w:tcBorders>
            <w:noWrap w:val="0"/>
            <w:vAlign w:val="center"/>
          </w:tcPr>
          <w:p w14:paraId="696D37D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污染物</w:t>
            </w:r>
          </w:p>
          <w:p w14:paraId="685D19F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排放管控</w:t>
            </w:r>
          </w:p>
        </w:tc>
        <w:tc>
          <w:tcPr>
            <w:tcW w:w="10638" w:type="dxa"/>
            <w:tcBorders>
              <w:top w:val="single" w:color="auto" w:sz="4" w:space="0"/>
              <w:left w:val="single" w:color="auto" w:sz="4" w:space="0"/>
              <w:right w:val="single" w:color="auto" w:sz="4" w:space="0"/>
            </w:tcBorders>
            <w:noWrap w:val="0"/>
            <w:vAlign w:val="center"/>
          </w:tcPr>
          <w:p w14:paraId="6C21CA56">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第九条  包装印刷、家具制造、铸造等重点行业应开展挥发性有机物污染防治深度治理。城市建成区、工业园区基本淘汰35蒸吨/小时以下燃煤锅炉，逐步淘汰和清洁能源改造燃煤锅炉。开展燃气锅炉低氮燃烧改造。</w:t>
            </w:r>
          </w:p>
        </w:tc>
      </w:tr>
      <w:tr w14:paraId="7052D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continue"/>
            <w:tcBorders>
              <w:left w:val="single" w:color="auto" w:sz="4" w:space="0"/>
              <w:right w:val="single" w:color="auto" w:sz="4" w:space="0"/>
            </w:tcBorders>
            <w:noWrap w:val="0"/>
            <w:vAlign w:val="center"/>
          </w:tcPr>
          <w:p w14:paraId="2A33BA7F">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3D359BE3">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第十条  完成市级下达的柴油车淘汰更新任务，严格执行重型柴油车实施国家第六阶段机动车排放标准。</w:t>
            </w:r>
          </w:p>
        </w:tc>
      </w:tr>
      <w:tr w14:paraId="2F158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continue"/>
            <w:tcBorders>
              <w:left w:val="single" w:color="auto" w:sz="4" w:space="0"/>
              <w:right w:val="single" w:color="auto" w:sz="4" w:space="0"/>
            </w:tcBorders>
            <w:noWrap w:val="0"/>
            <w:vAlign w:val="center"/>
          </w:tcPr>
          <w:p w14:paraId="0F104DD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2B9461E2">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第十一条  全面落实扬尘污染防治十项强制性规定和控尘</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六项工作</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，推进</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智慧工地</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建设。加大道路机械化清扫力度。加强生产经营过程的扬尘控制，加强企业堆料和建筑渣土消纳场管理，加强对物料、产品运输设施的扬尘控制。</w:t>
            </w:r>
          </w:p>
        </w:tc>
      </w:tr>
      <w:tr w14:paraId="57084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continue"/>
            <w:tcBorders>
              <w:left w:val="single" w:color="auto" w:sz="4" w:space="0"/>
              <w:right w:val="single" w:color="auto" w:sz="4" w:space="0"/>
            </w:tcBorders>
            <w:noWrap w:val="0"/>
            <w:vAlign w:val="center"/>
          </w:tcPr>
          <w:p w14:paraId="46A84E0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7EDAB8E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第十二条  餐饮单位安装油烟净化设施并强化设施运行维护监管，确保污染物达标排放。</w:t>
            </w:r>
          </w:p>
        </w:tc>
      </w:tr>
      <w:tr w14:paraId="491AA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5" w:hRule="atLeast"/>
          <w:jc w:val="center"/>
        </w:trPr>
        <w:tc>
          <w:tcPr>
            <w:tcW w:w="1639" w:type="dxa"/>
            <w:vMerge w:val="continue"/>
            <w:tcBorders>
              <w:left w:val="single" w:color="auto" w:sz="4" w:space="0"/>
              <w:right w:val="single" w:color="auto" w:sz="4" w:space="0"/>
            </w:tcBorders>
            <w:noWrap w:val="0"/>
            <w:vAlign w:val="center"/>
          </w:tcPr>
          <w:p w14:paraId="770030B5">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56193AD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第十三条  推进城镇污水管网全覆盖，加大城镇污水收集管网建设力度，消除收集管网空白区，持续提高污水收集效能。到2025年，确保全区城镇污水处理率不低于95%。</w:t>
            </w:r>
          </w:p>
        </w:tc>
      </w:tr>
      <w:tr w14:paraId="07069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5" w:hRule="atLeast"/>
          <w:jc w:val="center"/>
        </w:trPr>
        <w:tc>
          <w:tcPr>
            <w:tcW w:w="1639" w:type="dxa"/>
            <w:vMerge w:val="continue"/>
            <w:tcBorders>
              <w:left w:val="single" w:color="auto" w:sz="4" w:space="0"/>
              <w:right w:val="single" w:color="auto" w:sz="4" w:space="0"/>
            </w:tcBorders>
            <w:noWrap w:val="0"/>
            <w:vAlign w:val="center"/>
          </w:tcPr>
          <w:p w14:paraId="1AC20C4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5D6954C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第十四条  推进乡镇生活污水处理设施达标改造。新建城市生活污水处理厂全部按照《城镇污水处理厂污染物排放标准》（GB18918-2002）一级A标及以上排放标准设计、施工、验收。针对无法彻底雨污分流的老城区，尊重现实合理保留截留制区域，提高截留倍数；对新建的排水管网，全部按照雨污分流模式实施建设。</w:t>
            </w:r>
          </w:p>
        </w:tc>
      </w:tr>
      <w:tr w14:paraId="36E7F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restart"/>
            <w:tcBorders>
              <w:top w:val="single" w:color="auto" w:sz="4" w:space="0"/>
              <w:left w:val="single" w:color="auto" w:sz="4" w:space="0"/>
              <w:right w:val="single" w:color="auto" w:sz="4" w:space="0"/>
            </w:tcBorders>
            <w:noWrap w:val="0"/>
            <w:vAlign w:val="center"/>
          </w:tcPr>
          <w:p w14:paraId="67215FAD">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环境风</w:t>
            </w:r>
          </w:p>
          <w:p w14:paraId="5CCA827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险防控</w:t>
            </w:r>
          </w:p>
        </w:tc>
        <w:tc>
          <w:tcPr>
            <w:tcW w:w="10638" w:type="dxa"/>
            <w:tcBorders>
              <w:top w:val="single" w:color="auto" w:sz="4" w:space="0"/>
              <w:left w:val="single" w:color="auto" w:sz="4" w:space="0"/>
              <w:right w:val="single" w:color="auto" w:sz="4" w:space="0"/>
            </w:tcBorders>
            <w:noWrap w:val="0"/>
            <w:vAlign w:val="center"/>
          </w:tcPr>
          <w:p w14:paraId="7B1A2084">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第十五条  执行重点管控单元市级总体管控要求第十六条。</w:t>
            </w:r>
          </w:p>
        </w:tc>
      </w:tr>
      <w:tr w14:paraId="5E39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85" w:hRule="atLeast"/>
          <w:jc w:val="center"/>
        </w:trPr>
        <w:tc>
          <w:tcPr>
            <w:tcW w:w="1639" w:type="dxa"/>
            <w:vMerge w:val="continue"/>
            <w:tcBorders>
              <w:top w:val="single" w:color="auto" w:sz="4" w:space="0"/>
              <w:left w:val="single" w:color="auto" w:sz="4" w:space="0"/>
              <w:right w:val="single" w:color="auto" w:sz="4" w:space="0"/>
            </w:tcBorders>
            <w:noWrap w:val="0"/>
            <w:vAlign w:val="center"/>
          </w:tcPr>
          <w:p w14:paraId="3B44A45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0049D90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第十六条  依法应当开展土壤污染状况调查或风险评估而未开展或尚未完成的地块，以及未达到土壤污染风险评估报告确定的风险管控、修复目标的建设用地地块，不得开工建设与风险管控、修复无关的项目。土壤污染重点监管单位应严格控制有毒有害物质排放，建立土壤污染隐患排查制度，保证持续有效防止有毒有害物质渗漏、流失、扬散，并制定自行监测方案，每年开展土壤监测。持续推进重庆大足红蝶锶业有限公司</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龙水工厂、雍溪工厂</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等企业搬迁后遗留污染地块的修复与治理工作，修复过程中应防止二次污染。</w:t>
            </w:r>
          </w:p>
        </w:tc>
      </w:tr>
      <w:tr w14:paraId="03319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restart"/>
            <w:tcBorders>
              <w:top w:val="single" w:color="auto" w:sz="4" w:space="0"/>
              <w:left w:val="single" w:color="auto" w:sz="4" w:space="0"/>
              <w:right w:val="single" w:color="auto" w:sz="4" w:space="0"/>
            </w:tcBorders>
            <w:noWrap w:val="0"/>
            <w:vAlign w:val="center"/>
          </w:tcPr>
          <w:p w14:paraId="33CED808">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资源利</w:t>
            </w:r>
          </w:p>
          <w:p w14:paraId="7C95999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用效率</w:t>
            </w:r>
          </w:p>
        </w:tc>
        <w:tc>
          <w:tcPr>
            <w:tcW w:w="10638" w:type="dxa"/>
            <w:tcBorders>
              <w:top w:val="single" w:color="auto" w:sz="4" w:space="0"/>
              <w:left w:val="single" w:color="auto" w:sz="4" w:space="0"/>
              <w:right w:val="single" w:color="auto" w:sz="4" w:space="0"/>
            </w:tcBorders>
            <w:noWrap w:val="0"/>
            <w:vAlign w:val="center"/>
          </w:tcPr>
          <w:p w14:paraId="33A791E0">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第十七条  执行重点管控单元市级总体管控要求第十八条、第十九条、第二十条、第二十一条。</w:t>
            </w:r>
          </w:p>
        </w:tc>
      </w:tr>
      <w:tr w14:paraId="3B2C7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continue"/>
            <w:tcBorders>
              <w:top w:val="single" w:color="auto" w:sz="4" w:space="0"/>
              <w:left w:val="single" w:color="auto" w:sz="4" w:space="0"/>
              <w:right w:val="single" w:color="auto" w:sz="4" w:space="0"/>
            </w:tcBorders>
            <w:noWrap w:val="0"/>
            <w:vAlign w:val="center"/>
          </w:tcPr>
          <w:p w14:paraId="2EC71C91">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32D6DD07">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第十八条  区域工业废水优先进行资源化综合利用。鼓励企业开展中水回用，提高中水回用率。提高工业企业新鲜水重复利用率。</w:t>
            </w:r>
          </w:p>
        </w:tc>
      </w:tr>
      <w:tr w14:paraId="55308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639" w:type="dxa"/>
            <w:vMerge w:val="continue"/>
            <w:tcBorders>
              <w:left w:val="single" w:color="auto" w:sz="4" w:space="0"/>
              <w:right w:val="single" w:color="auto" w:sz="4" w:space="0"/>
            </w:tcBorders>
            <w:noWrap w:val="0"/>
            <w:vAlign w:val="center"/>
          </w:tcPr>
          <w:p w14:paraId="043DA2DF">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ascii="Times New Roman" w:hAnsi="Times New Roman" w:eastAsia="方正仿宋_GBK" w:cs="Times New Roman"/>
                <w:sz w:val="24"/>
                <w:szCs w:val="24"/>
              </w:rPr>
            </w:pPr>
          </w:p>
        </w:tc>
        <w:tc>
          <w:tcPr>
            <w:tcW w:w="10638" w:type="dxa"/>
            <w:tcBorders>
              <w:top w:val="single" w:color="auto" w:sz="4" w:space="0"/>
              <w:left w:val="single" w:color="auto" w:sz="4" w:space="0"/>
              <w:right w:val="single" w:color="auto" w:sz="4" w:space="0"/>
            </w:tcBorders>
            <w:noWrap w:val="0"/>
            <w:vAlign w:val="center"/>
          </w:tcPr>
          <w:p w14:paraId="4896917B">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第十九条  严格限制建设高耗水的工业项目，确保工业企业单位产品用水量不大于国家、地方标准值或定额要求。</w:t>
            </w:r>
          </w:p>
        </w:tc>
      </w:tr>
    </w:tbl>
    <w:p w14:paraId="2931578D">
      <w:pPr>
        <w:bidi w:val="0"/>
        <w:ind w:firstLine="480" w:firstLineChars="200"/>
        <w:rPr>
          <w:rFonts w:hint="default" w:ascii="Times New Roman" w:hAnsi="Times New Roman" w:eastAsia="方正仿宋_GBK" w:cs="Times New Roman"/>
          <w:b w:val="0"/>
          <w:i w:val="0"/>
          <w:caps w:val="0"/>
          <w:color w:val="000000"/>
          <w:spacing w:val="0"/>
          <w:sz w:val="31"/>
          <w:szCs w:val="31"/>
          <w:shd w:val="clear" w:fill="FFFFFF"/>
          <w:lang w:val="en-US" w:eastAsia="zh-CN"/>
        </w:rPr>
      </w:pPr>
      <w:r>
        <w:rPr>
          <w:rFonts w:hint="default" w:ascii="Times New Roman" w:hAnsi="Times New Roman" w:eastAsia="方正仿宋_GBK" w:cs="Times New Roman"/>
          <w:sz w:val="24"/>
          <w:szCs w:val="24"/>
        </w:rPr>
        <w:t>注：市级总体要求详见重庆市生态环境局发布的《重庆市</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三线一单</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生态环境分区管控调整方案（2023年）》。</w:t>
      </w:r>
      <w:bookmarkEnd w:id="6"/>
      <w:bookmarkEnd w:id="10"/>
      <w:bookmarkEnd w:id="11"/>
      <w:bookmarkEnd w:id="12"/>
    </w:p>
    <w:sectPr>
      <w:headerReference r:id="rId5" w:type="default"/>
      <w:footerReference r:id="rId6" w:type="default"/>
      <w:pgSz w:w="16838" w:h="11906" w:orient="landscape"/>
      <w:pgMar w:top="1587" w:right="1962" w:bottom="1474" w:left="1848"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6EA0C">
    <w:pPr>
      <w:pStyle w:val="7"/>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17.4pt;height:0.15pt;width:442.25pt;z-index:251661312;mso-width-relative:page;mso-height-relative:page;" filled="f" stroked="t" coordsize="21600,21600" o:gfxdata="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rhQB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0697EC">
                          <w:pPr>
                            <w:pStyle w:val="1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D0697EC">
                    <w:pPr>
                      <w:pStyle w:val="1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2689F309">
    <w:pPr>
      <w:pStyle w:val="7"/>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大足区人民政府发布   </w:t>
    </w:r>
  </w:p>
  <w:p w14:paraId="6F8F6884">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B6E03">
    <w:pPr>
      <w:pStyle w:val="7"/>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24130</wp:posOffset>
              </wp:positionH>
              <wp:positionV relativeFrom="paragraph">
                <wp:posOffset>184150</wp:posOffset>
              </wp:positionV>
              <wp:extent cx="8168005" cy="21590"/>
              <wp:effectExtent l="0" t="0" r="0" b="0"/>
              <wp:wrapNone/>
              <wp:docPr id="17" name="直接连接符 17"/>
              <wp:cNvGraphicFramePr/>
              <a:graphic xmlns:a="http://schemas.openxmlformats.org/drawingml/2006/main">
                <a:graphicData uri="http://schemas.microsoft.com/office/word/2010/wordprocessingShape">
                  <wps:wsp>
                    <wps:cNvCnPr/>
                    <wps:spPr>
                      <a:xfrm>
                        <a:off x="0" y="0"/>
                        <a:ext cx="8168005" cy="2159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pt;margin-top:14.5pt;height:1.7pt;width:643.15pt;z-index:251663360;mso-width-relative:page;mso-height-relative:page;" filled="f" stroked="t" coordsize="21600,21600" o:gfxdata="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1mDc10wAA&#10;AAgBAAAPAAAAAAAAAAEAIAAAACIAAABkcnMvZG93bnJldi54bWxQSwECFAAUAAAACACHTuJAq6fV&#10;yeoBAAC4AwAADgAAAAAAAAABACAAAAAiAQAAZHJzL2Uyb0RvYy54bWxQSwUGAAAAAAYABgBZAQAA&#10;fgU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8160DE">
                          <w:pPr>
                            <w:pStyle w:val="13"/>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18160DE">
                    <w:pPr>
                      <w:pStyle w:val="13"/>
                      <w:rPr>
                        <w:rFonts w:hint="eastAsia" w:eastAsia="宋体"/>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 </w:t>
                    </w:r>
                  </w:p>
                </w:txbxContent>
              </v:textbox>
            </v:shape>
          </w:pict>
        </mc:Fallback>
      </mc:AlternateContent>
    </w:r>
    <w:r>
      <w:rPr>
        <w:rFonts w:hint="eastAsia" w:ascii="宋体" w:hAnsi="宋体" w:eastAsia="宋体" w:cs="宋体"/>
        <w:b/>
        <w:bCs/>
        <w:color w:val="005192"/>
        <w:sz w:val="28"/>
        <w:szCs w:val="44"/>
        <w:lang w:val="en-US" w:eastAsia="zh-CN"/>
      </w:rPr>
      <w:t xml:space="preserve">                                                               </w:t>
    </w:r>
  </w:p>
  <w:p w14:paraId="3E033293">
    <w:pPr>
      <w:pStyle w:val="7"/>
      <w:wordWrap w:val="0"/>
      <w:ind w:left="2736" w:leftChars="895" w:hanging="857" w:hangingChars="305"/>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eastAsia="zh-CN"/>
      </w:rPr>
      <w:t>重庆市</w:t>
    </w:r>
    <w:r>
      <w:rPr>
        <w:rFonts w:hint="eastAsia" w:ascii="宋体" w:hAnsi="宋体" w:eastAsia="宋体" w:cs="宋体"/>
        <w:b/>
        <w:bCs/>
        <w:color w:val="005192"/>
        <w:sz w:val="28"/>
        <w:szCs w:val="44"/>
        <w:lang w:val="en-US" w:eastAsia="zh-CN"/>
      </w:rPr>
      <w:t xml:space="preserve">大足区人民政府发布     </w:t>
    </w:r>
  </w:p>
  <w:p w14:paraId="65D158C9">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F80DDC">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0288;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2936BD65">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6895B">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7620</wp:posOffset>
              </wp:positionH>
              <wp:positionV relativeFrom="paragraph">
                <wp:posOffset>365125</wp:posOffset>
              </wp:positionV>
              <wp:extent cx="8235950" cy="0"/>
              <wp:effectExtent l="0" t="10795" r="12700" b="17780"/>
              <wp:wrapNone/>
              <wp:docPr id="7" name="直接连接符 7"/>
              <wp:cNvGraphicFramePr/>
              <a:graphic xmlns:a="http://schemas.openxmlformats.org/drawingml/2006/main">
                <a:graphicData uri="http://schemas.microsoft.com/office/word/2010/wordprocessingShape">
                  <wps:wsp>
                    <wps:cNvCnPr/>
                    <wps:spPr>
                      <a:xfrm>
                        <a:off x="0" y="0"/>
                        <a:ext cx="823595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28.75pt;height:0pt;width:648.5pt;z-index:251665408;mso-width-relative:page;mso-height-relative:page;" filled="f" stroked="t" coordsize="21600,21600" o:gfxdata="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ht60O0wAAAAgB&#10;AAAPAAAAAAAAAAEAIAAAACIAAABkcnMvZG93bnJldi54bWxQSwECFAAUAAAACACHTuJAHwX4POcB&#10;AACyAwAADgAAAAAAAAABACAAAAAiAQAAZHJzL2Uyb0RvYy54bWxQSwUGAAAAAAYABgBZAQAAewUA&#10;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CN"/>
      </w:rPr>
      <w:t>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pStyle w:val="6"/>
      <w:suff w:val="space"/>
      <w:lvlText w:val="%1"/>
      <w:lvlJc w:val="left"/>
      <w:pPr>
        <w:ind w:left="0" w:firstLine="0"/>
      </w:pPr>
      <w:rPr>
        <w:rFonts w:hint="default" w:ascii="Times New Roman" w:hAnsi="Times New Roman"/>
        <w:b/>
        <w:i w:val="0"/>
        <w:sz w:val="30"/>
        <w:szCs w:val="24"/>
      </w:rPr>
    </w:lvl>
    <w:lvl w:ilvl="1" w:tentative="0">
      <w:start w:val="1"/>
      <w:numFmt w:val="decimal"/>
      <w:pStyle w:val="9"/>
      <w:suff w:val="space"/>
      <w:lvlText w:val="%1.%2"/>
      <w:lvlJc w:val="left"/>
      <w:pPr>
        <w:ind w:left="0" w:firstLine="0"/>
      </w:pPr>
      <w:rPr>
        <w:rFonts w:hint="default" w:ascii="Times New Roman" w:hAnsi="Times New Roman"/>
        <w:b/>
        <w:i w:val="0"/>
        <w:sz w:val="28"/>
        <w:szCs w:val="24"/>
      </w:rPr>
    </w:lvl>
    <w:lvl w:ilvl="2" w:tentative="0">
      <w:start w:val="1"/>
      <w:numFmt w:val="decimal"/>
      <w:suff w:val="space"/>
      <w:lvlText w:val="%1.%2.%3"/>
      <w:lvlJc w:val="left"/>
      <w:pPr>
        <w:ind w:left="0" w:firstLine="0"/>
      </w:pPr>
      <w:rPr>
        <w:rFonts w:hint="default" w:ascii="Times New Roman" w:hAnsi="Times New Roman" w:eastAsia="宋体"/>
        <w:b w:val="0"/>
        <w:i w:val="0"/>
        <w:caps w:val="0"/>
        <w:strike w:val="0"/>
        <w:dstrike w:val="0"/>
        <w:snapToGrid w:val="0"/>
        <w:vanish w:val="0"/>
        <w:color w:val="auto"/>
        <w:kern w:val="0"/>
        <w:sz w:val="28"/>
        <w:szCs w:val="24"/>
        <w:u w:val="none"/>
        <w:vertAlign w:val="baseline"/>
      </w:rPr>
    </w:lvl>
    <w:lvl w:ilvl="3" w:tentative="0">
      <w:start w:val="1"/>
      <w:numFmt w:val="decimal"/>
      <w:lvlText w:val="%1.%2.%3.%4"/>
      <w:lvlJc w:val="left"/>
      <w:pPr>
        <w:tabs>
          <w:tab w:val="left" w:pos="851"/>
        </w:tabs>
        <w:ind w:left="851" w:hanging="851"/>
      </w:pPr>
      <w:rPr>
        <w:rFonts w:hint="default" w:ascii="Times New Roman" w:hAnsi="Times New Roman"/>
        <w:b w:val="0"/>
        <w:i w:val="0"/>
        <w:sz w:val="28"/>
        <w:szCs w:val="24"/>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zFjZjI0YzE4ZTZkNmY1ODk2NzlkZWY4YzE2MTIifQ=="/>
  </w:docVars>
  <w:rsids>
    <w:rsidRoot w:val="00172A27"/>
    <w:rsid w:val="019E71BD"/>
    <w:rsid w:val="049A1735"/>
    <w:rsid w:val="04B679C3"/>
    <w:rsid w:val="04CD61FB"/>
    <w:rsid w:val="05F07036"/>
    <w:rsid w:val="06E00104"/>
    <w:rsid w:val="080F63D8"/>
    <w:rsid w:val="09341458"/>
    <w:rsid w:val="098254C2"/>
    <w:rsid w:val="0A766EDE"/>
    <w:rsid w:val="0A826B6E"/>
    <w:rsid w:val="0AD64BE8"/>
    <w:rsid w:val="0B0912D7"/>
    <w:rsid w:val="0BE23A13"/>
    <w:rsid w:val="0E025194"/>
    <w:rsid w:val="11F96DB9"/>
    <w:rsid w:val="131F64D1"/>
    <w:rsid w:val="1357175D"/>
    <w:rsid w:val="14EB6229"/>
    <w:rsid w:val="152D2DCA"/>
    <w:rsid w:val="171F6119"/>
    <w:rsid w:val="17E94CA2"/>
    <w:rsid w:val="187168EA"/>
    <w:rsid w:val="18A4506D"/>
    <w:rsid w:val="196673CA"/>
    <w:rsid w:val="1CF734C9"/>
    <w:rsid w:val="1DEC284C"/>
    <w:rsid w:val="1E4E59B9"/>
    <w:rsid w:val="1E6523AC"/>
    <w:rsid w:val="22440422"/>
    <w:rsid w:val="22BB4BBB"/>
    <w:rsid w:val="241B1988"/>
    <w:rsid w:val="24735DA9"/>
    <w:rsid w:val="24ED19EA"/>
    <w:rsid w:val="25755DC7"/>
    <w:rsid w:val="262E695F"/>
    <w:rsid w:val="279231A3"/>
    <w:rsid w:val="2AEB3417"/>
    <w:rsid w:val="2C3167C0"/>
    <w:rsid w:val="2EEF6D7A"/>
    <w:rsid w:val="2F041F69"/>
    <w:rsid w:val="31A15F24"/>
    <w:rsid w:val="35747E49"/>
    <w:rsid w:val="35D501BC"/>
    <w:rsid w:val="36FB1DF0"/>
    <w:rsid w:val="37A62A7C"/>
    <w:rsid w:val="38455ACD"/>
    <w:rsid w:val="395347B5"/>
    <w:rsid w:val="39A232A0"/>
    <w:rsid w:val="39E3559D"/>
    <w:rsid w:val="39E745AA"/>
    <w:rsid w:val="3B5A6BBB"/>
    <w:rsid w:val="3DFF03C5"/>
    <w:rsid w:val="3EAA48DB"/>
    <w:rsid w:val="3EDA13A6"/>
    <w:rsid w:val="417B75E9"/>
    <w:rsid w:val="42F058B7"/>
    <w:rsid w:val="436109F6"/>
    <w:rsid w:val="43A13493"/>
    <w:rsid w:val="441A38D4"/>
    <w:rsid w:val="4504239D"/>
    <w:rsid w:val="468102D8"/>
    <w:rsid w:val="4BC77339"/>
    <w:rsid w:val="4C9236C5"/>
    <w:rsid w:val="4CC21042"/>
    <w:rsid w:val="4DBC3CE3"/>
    <w:rsid w:val="4E250A85"/>
    <w:rsid w:val="4FFD4925"/>
    <w:rsid w:val="505C172E"/>
    <w:rsid w:val="506405EA"/>
    <w:rsid w:val="50DC11F6"/>
    <w:rsid w:val="52F46F0B"/>
    <w:rsid w:val="532B6A10"/>
    <w:rsid w:val="53D8014D"/>
    <w:rsid w:val="554673D9"/>
    <w:rsid w:val="559D264C"/>
    <w:rsid w:val="55E064E0"/>
    <w:rsid w:val="572C6D10"/>
    <w:rsid w:val="57E04A72"/>
    <w:rsid w:val="57EC78BB"/>
    <w:rsid w:val="5BF64864"/>
    <w:rsid w:val="5C043425"/>
    <w:rsid w:val="5DC34279"/>
    <w:rsid w:val="5DF61FF9"/>
    <w:rsid w:val="5FCD688E"/>
    <w:rsid w:val="5FF9BDAA"/>
    <w:rsid w:val="608816D1"/>
    <w:rsid w:val="60CD3BCF"/>
    <w:rsid w:val="60EF4E7F"/>
    <w:rsid w:val="634A36E8"/>
    <w:rsid w:val="644B29FA"/>
    <w:rsid w:val="648B0A32"/>
    <w:rsid w:val="649753A5"/>
    <w:rsid w:val="653A2831"/>
    <w:rsid w:val="665233C1"/>
    <w:rsid w:val="68C91527"/>
    <w:rsid w:val="69180510"/>
    <w:rsid w:val="69AC0D42"/>
    <w:rsid w:val="69AE7C10"/>
    <w:rsid w:val="69ED1676"/>
    <w:rsid w:val="6AD9688B"/>
    <w:rsid w:val="6D0E3F22"/>
    <w:rsid w:val="6E506849"/>
    <w:rsid w:val="744E4660"/>
    <w:rsid w:val="753355A2"/>
    <w:rsid w:val="759F1C61"/>
    <w:rsid w:val="75A75EC4"/>
    <w:rsid w:val="7606273D"/>
    <w:rsid w:val="769F2DE8"/>
    <w:rsid w:val="76FDEB7C"/>
    <w:rsid w:val="780D6D66"/>
    <w:rsid w:val="79C65162"/>
    <w:rsid w:val="7A3727C0"/>
    <w:rsid w:val="7C9011D9"/>
    <w:rsid w:val="7DC651C5"/>
    <w:rsid w:val="7FCC2834"/>
    <w:rsid w:val="92DD1CEF"/>
    <w:rsid w:val="F05B4F69"/>
    <w:rsid w:val="F97D9566"/>
    <w:rsid w:val="FDFF411C"/>
    <w:rsid w:val="FFFB63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numPr>
        <w:ilvl w:val="0"/>
        <w:numId w:val="1"/>
      </w:numPr>
      <w:ind w:firstLine="0" w:firstLineChars="0"/>
      <w:jc w:val="left"/>
      <w:outlineLvl w:val="0"/>
    </w:pPr>
    <w:rPr>
      <w:rFonts w:eastAsia="黑体"/>
      <w:b/>
      <w:bCs/>
      <w:szCs w:val="32"/>
    </w:rPr>
  </w:style>
  <w:style w:type="paragraph" w:styleId="9">
    <w:name w:val="heading 2"/>
    <w:basedOn w:val="1"/>
    <w:next w:val="1"/>
    <w:qFormat/>
    <w:uiPriority w:val="0"/>
    <w:pPr>
      <w:numPr>
        <w:ilvl w:val="1"/>
        <w:numId w:val="1"/>
      </w:numPr>
      <w:ind w:firstLine="0" w:firstLineChars="0"/>
      <w:jc w:val="left"/>
      <w:outlineLvl w:val="1"/>
    </w:pPr>
    <w:rPr>
      <w:b/>
    </w:rPr>
  </w:style>
  <w:style w:type="paragraph" w:styleId="10">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8"/>
    <w:uiPriority w:val="0"/>
    <w:pPr>
      <w:widowControl w:val="0"/>
      <w:spacing w:after="120" w:line="500" w:lineRule="exact"/>
      <w:ind w:firstLine="420"/>
      <w:jc w:val="both"/>
    </w:pPr>
    <w:rPr>
      <w:rFonts w:ascii="Times New Roman" w:hAnsi="Times New Roman" w:eastAsia="宋体" w:cs="Times New Roman"/>
      <w:kern w:val="2"/>
      <w:sz w:val="28"/>
      <w:szCs w:val="24"/>
      <w:lang w:val="en-US" w:eastAsia="zh-CN" w:bidi="ar-SA"/>
    </w:rPr>
  </w:style>
  <w:style w:type="paragraph" w:styleId="3">
    <w:name w:val="Body Text"/>
    <w:basedOn w:val="1"/>
    <w:next w:val="4"/>
    <w:qFormat/>
    <w:uiPriority w:val="0"/>
    <w:pPr>
      <w:widowControl w:val="0"/>
      <w:spacing w:after="120" w:afterLines="0"/>
      <w:jc w:val="both"/>
    </w:pPr>
    <w:rPr>
      <w:rFonts w:ascii="Times New Roman" w:hAnsi="Times New Roman" w:eastAsia="Times New Roman" w:cs="Times New Roman"/>
      <w:kern w:val="0"/>
      <w:sz w:val="24"/>
      <w:szCs w:val="24"/>
      <w:lang w:bidi="ar-SA"/>
    </w:rPr>
  </w:style>
  <w:style w:type="paragraph" w:styleId="4">
    <w:name w:val="Body Text Indent"/>
    <w:basedOn w:val="1"/>
    <w:next w:val="5"/>
    <w:qFormat/>
    <w:uiPriority w:val="0"/>
    <w:pPr>
      <w:ind w:firstLine="200" w:firstLineChars="200"/>
    </w:pPr>
    <w:rPr>
      <w:sz w:val="32"/>
    </w:rPr>
  </w:style>
  <w:style w:type="paragraph" w:customStyle="1" w:styleId="5">
    <w:name w:val="样式 方正小标宋_GBK 二号 居中 行距: 固定值 30 磅"/>
    <w:basedOn w:val="6"/>
    <w:next w:val="7"/>
    <w:uiPriority w:val="0"/>
    <w:pPr>
      <w:keepNext w:val="0"/>
      <w:keepLines w:val="0"/>
      <w:widowControl w:val="0"/>
      <w:spacing w:before="0" w:beforeLines="0" w:after="0" w:afterLines="0" w:line="600" w:lineRule="exact"/>
      <w:jc w:val="center"/>
    </w:pPr>
    <w:rPr>
      <w:rFonts w:ascii="方正小标宋_GBK" w:eastAsia="方正小标宋_GBK" w:cs="宋体"/>
      <w:b w:val="0"/>
      <w:bCs w:val="0"/>
      <w:kern w:val="2"/>
      <w:szCs w:val="20"/>
      <w:lang w:val="en-US" w:eastAsia="zh-CN" w:bidi="ar-SA"/>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0"/>
    <w:pPr>
      <w:snapToGrid w:val="0"/>
      <w:jc w:val="left"/>
    </w:pPr>
    <w:rPr>
      <w:rFonts w:ascii="Calibri" w:hAnsi="Calibri" w:eastAsia="宋体"/>
      <w:kern w:val="0"/>
      <w:sz w:val="18"/>
      <w:szCs w:val="18"/>
    </w:rPr>
  </w:style>
  <w:style w:type="paragraph" w:styleId="11">
    <w:name w:val="annotation text"/>
    <w:basedOn w:val="1"/>
    <w:qFormat/>
    <w:uiPriority w:val="0"/>
    <w:pPr>
      <w:jc w:val="left"/>
    </w:pPr>
  </w:style>
  <w:style w:type="paragraph" w:styleId="12">
    <w:name w:val="toc 5"/>
    <w:basedOn w:val="1"/>
    <w:next w:val="1"/>
    <w:qFormat/>
    <w:uiPriority w:val="0"/>
    <w:pPr>
      <w:ind w:left="1680" w:leftChars="800"/>
    </w:pPr>
  </w:style>
  <w:style w:type="paragraph" w:styleId="13">
    <w:name w:val="footer"/>
    <w:basedOn w:val="1"/>
    <w:next w:val="14"/>
    <w:qFormat/>
    <w:uiPriority w:val="0"/>
    <w:pPr>
      <w:tabs>
        <w:tab w:val="center" w:pos="4153"/>
        <w:tab w:val="right" w:pos="8306"/>
      </w:tabs>
      <w:snapToGrid w:val="0"/>
      <w:jc w:val="left"/>
    </w:pPr>
    <w:rPr>
      <w:sz w:val="18"/>
    </w:rPr>
  </w:style>
  <w:style w:type="paragraph" w:customStyle="1" w:styleId="14">
    <w:name w:val="索引 51"/>
    <w:basedOn w:val="1"/>
    <w:next w:val="1"/>
    <w:qFormat/>
    <w:uiPriority w:val="0"/>
    <w:pPr>
      <w:ind w:left="1680"/>
    </w:p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bCs/>
    </w:rPr>
  </w:style>
  <w:style w:type="character" w:styleId="20">
    <w:name w:val="page number"/>
    <w:qFormat/>
    <w:uiPriority w:val="0"/>
    <w:rPr>
      <w:rFonts w:eastAsia="宋体"/>
      <w:sz w:val="18"/>
    </w:rPr>
  </w:style>
  <w:style w:type="paragraph" w:customStyle="1" w:styleId="21">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22225">
          <a:solidFill>
            <a:srgbClr val="005192"/>
          </a:solidFill>
        </a:ln>
      </a:spPr>
      <a:bodyPr/>
      <a:lstStyle/>
      <a:style>
        <a:lnRef idx="1">
          <a:schemeClr val="accent1"/>
        </a:lnRef>
        <a:fillRef idx="0">
          <a:schemeClr val="accent1"/>
        </a:fillRef>
        <a:effectRef idx="0">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4488</Words>
  <Characters>4857</Characters>
  <Lines>1</Lines>
  <Paragraphs>1</Paragraphs>
  <TotalTime>10</TotalTime>
  <ScaleCrop>false</ScaleCrop>
  <LinksUpToDate>false</LinksUpToDate>
  <CharactersWithSpaces>4895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赵</cp:lastModifiedBy>
  <cp:lastPrinted>2022-05-11T16:46:00Z</cp:lastPrinted>
  <dcterms:modified xsi:type="dcterms:W3CDTF">2024-08-19T07:24:35Z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48C61CB29D3F4D9384F5922CF0F7FFB4</vt:lpwstr>
  </property>
</Properties>
</file>